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BD2" w:rsidP="00EB4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DEFSIM013 Manage simulator accreditation or in service testing</w:t>
      </w:r>
      <w:r>
        <w:fldChar w:fldCharType="end"/>
      </w:r>
    </w:p>
    <w:p w:rsidR="00EB4BD2" w:rsidP="00EB4BD2">
      <w:pPr>
        <w:pStyle w:val="Version"/>
        <w:sectPr w:rsidSect="00C11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DD4" w:rsidP="00C11DD4">
      <w:pPr>
        <w:pStyle w:val="SuperHeading"/>
      </w:pPr>
      <w:r w:rsidRPr="00C11DD4">
        <w:t>DEFSIM013 Manage simulator accreditation or in service testing</w:t>
      </w:r>
    </w:p>
    <w:p w:rsidR="00000000" w:rsidRPr="00C11DD4" w:rsidP="00C11DD4">
      <w:pPr>
        <w:pStyle w:val="Heading1"/>
      </w:pPr>
      <w:bookmarkStart w:id="1" w:name="O_1152403"/>
      <w:bookmarkEnd w:id="1"/>
      <w:r w:rsidRPr="00C11D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Release 1. This is the first release of this unit of competency in the DEF Defence Training Package Release 4.0.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2" w:name="O_1152404"/>
      <w:bookmarkEnd w:id="2"/>
      <w:r w:rsidRPr="00C11D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This unit describes the knowledge and skills required to manage Simulator Accreditation or In-Service Testing.</w:t>
            </w:r>
          </w:p>
          <w:p w:rsidR="00000000" w:rsidRPr="00C11DD4" w:rsidP="00C11DD4">
            <w:pPr>
              <w:pStyle w:val="BodyText"/>
            </w:pPr>
            <w:r w:rsidRPr="00C11DD4">
              <w:t xml:space="preserve">It includes the determination of accreditation or in-service test requirements. It also includes the management of accreditation/test schedules, </w:t>
            </w:r>
            <w:r w:rsidRPr="00C11DD4">
              <w:t xml:space="preserve">human resources as well as quality and legislative requirements. </w:t>
            </w:r>
          </w:p>
          <w:p w:rsidR="00000000" w:rsidRPr="00C11DD4" w:rsidP="00C11DD4">
            <w:pPr>
              <w:pStyle w:val="BodyText"/>
            </w:pPr>
            <w:r w:rsidRPr="00C11DD4">
              <w:t xml:space="preserve">In the context of this unit, simulators are used to replicate land, air, sea and undersea systems to facilitate training and operations. </w:t>
            </w:r>
          </w:p>
          <w:p w:rsidR="00000000" w:rsidRPr="00C11DD4" w:rsidP="00C11DD4">
            <w:pPr>
              <w:pStyle w:val="BodyText"/>
            </w:pPr>
            <w:r w:rsidRPr="00C11DD4">
              <w:t xml:space="preserve">Simulators may include desktop trainers, procedural </w:t>
            </w:r>
            <w:r w:rsidRPr="00C11DD4">
              <w:t xml:space="preserve">trainers, virtual reality trainers and complex simulators. Accreditation or in-service testing may include formal accreditation/certification against a standard, initial acceptance testing and upgrade testing. </w:t>
            </w:r>
          </w:p>
          <w:p w:rsidR="00000000" w:rsidRPr="00C11DD4" w:rsidP="00C11DD4">
            <w:pPr>
              <w:pStyle w:val="BodyText"/>
            </w:pPr>
            <w:r w:rsidRPr="00C11DD4">
              <w:t>This unit applies to those working in the sim</w:t>
            </w:r>
            <w:r w:rsidRPr="00C11DD4">
              <w:t>ulator management field and was developed for people who manage maintenance, maintenance teams, simulator procurement and simulation projects.</w:t>
            </w:r>
          </w:p>
          <w:p w:rsidR="00000000" w:rsidRPr="00C11DD4" w:rsidP="00C11DD4">
            <w:pPr>
              <w:pStyle w:val="BodyText"/>
            </w:pPr>
            <w:r w:rsidRPr="00C11DD4">
              <w:t>The skills and knowledge described in this unit must be applied within the legislative, regulatory and policy env</w:t>
            </w:r>
            <w:r w:rsidRPr="00C11DD4">
              <w:t>ironment in which they are carried out. Organisational policies and procedures must be consulted and adhered to, particularly those relating to simulation standards and International Organisation for Standardisation (ISO) standards.</w:t>
            </w:r>
          </w:p>
          <w:p w:rsidR="00000000" w:rsidRPr="00C11DD4" w:rsidP="00C11DD4">
            <w:pPr>
              <w:pStyle w:val="BodyText"/>
            </w:pPr>
            <w:r w:rsidRPr="00C11DD4">
              <w:t xml:space="preserve">Those undertaking this </w:t>
            </w:r>
            <w:r w:rsidRPr="00C11DD4">
              <w:t>unit would work independently, or as part of a team, with minimal supervision, while performing tasks, including maintenance management, in a limited range of contexts. They would use discretion and judgement and take responsibility for the quality of thei</w:t>
            </w:r>
            <w:r w:rsidRPr="00C11DD4">
              <w:t>r outputs.</w:t>
            </w:r>
          </w:p>
          <w:p w:rsidR="00000000" w:rsidRPr="00C11DD4" w:rsidP="00C11DD4">
            <w:pPr>
              <w:pStyle w:val="BodyText"/>
            </w:pPr>
            <w:r w:rsidRPr="00C11DD4">
              <w:t>No licensing, legislative or certification requirements apply to this unit at the time of publication.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3" w:name="O_1152405"/>
      <w:bookmarkEnd w:id="3"/>
      <w:r w:rsidRPr="00C11D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Not applicable.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4" w:name="O_1152406"/>
      <w:bookmarkEnd w:id="4"/>
      <w:r w:rsidRPr="00C11D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Simulator Operations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5" w:name="O_1152407"/>
      <w:bookmarkEnd w:id="5"/>
      <w:r w:rsidRPr="00C11D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Not applicable.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6" w:name="O_1152408"/>
      <w:bookmarkEnd w:id="6"/>
      <w:r w:rsidRPr="00C11DD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PERFORMANCE CRITERIA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Performance criteria describe the performance needed to demonstrate achievement of the element.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>Access and interpret accreditation standards or testing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Identify and obtain relevant accreditation standards or test requirements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Review to determine relevant accreditation standard or test requirements obtained for relevance an</w:t>
            </w:r>
            <w:r w:rsidRPr="00C11DD4">
              <w:t>d application to the simulator and organisation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Document outcomes of the analysis, and determine recommendations, relevant accreditation standard or test requirements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>Define test plan that ensures accreditation standards and or test requirements are achieved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Document test requirements into test plan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Consider time requirements, schedule and operating requirements and factor into test plan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Determine huma</w:t>
            </w:r>
            <w:r w:rsidRPr="00C11DD4">
              <w:t>n resources required for testing and record into test plan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Determined simulator access, support, test equipment and facility requirements and record into test plan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Confirm the test plan with team, appropriate agency, accreditor or stakeholder if applicable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>Manage accreditation/in service testing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Manage testing to ensure desired outcomes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Update the test plan and schedule to deal with changing development conditions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Report any unexpected test outcomes with organisation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Ensure test reruns are conducted to address failed tests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rPr>
                <w:rStyle w:val="SpecialBold"/>
              </w:rPr>
              <w:t>Finalise testing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Collate test results and ensure all testing requirements have been satisfied against organisational requirements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Ensure all test results have been analysed against the required standards/requirements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Conduct quality and compliance checks on a</w:t>
            </w:r>
            <w:r w:rsidRPr="00C11DD4">
              <w:t>ll test results against organisational requirements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t>Report any non-compliant tests to the appropriate agency or accreditor</w:t>
            </w:r>
          </w:p>
        </w:tc>
      </w:tr>
      <w:tr w:rsidTr="00C11D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D4">
            <w:pPr>
              <w:pStyle w:val="BodyText"/>
              <w:rPr>
                <w:lang w:val="en-NZ"/>
              </w:rPr>
            </w:pPr>
            <w:r w:rsidRPr="00C11DD4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Produce test results to the appropriate agency, accreditor or stakeholder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7" w:name="O_1152409"/>
      <w:bookmarkEnd w:id="7"/>
      <w:r w:rsidRPr="00C11D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Foundation skills essential to performance are explicit in the performance criteria of this unit of competency.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8" w:name="O_1152410"/>
      <w:bookmarkEnd w:id="8"/>
      <w:r w:rsidRPr="00C11D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Range is restricted to essential operating conditions and any other variables essenti</w:t>
            </w:r>
            <w:r w:rsidRPr="00C11DD4">
              <w:t>al to the work environment.</w:t>
            </w:r>
          </w:p>
          <w:p w:rsidR="00000000" w:rsidRPr="00C11DD4" w:rsidP="00C11DD4">
            <w:pPr>
              <w:pStyle w:val="BodyText"/>
            </w:pPr>
            <w:r w:rsidRPr="00C11DD4">
              <w:t>Non-essential conditions may be found in the DEF Defence Training Package Companion Volume Implementation Guide.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9" w:name="O_1152411"/>
      <w:bookmarkEnd w:id="9"/>
      <w:r w:rsidRPr="00C11D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D4" w:rsidP="00C11DD4">
            <w:pPr>
              <w:pStyle w:val="BodyText"/>
            </w:pPr>
            <w:r w:rsidRPr="00C11DD4">
              <w:t>This is a new unit. No equivalent unit.</w:t>
            </w:r>
          </w:p>
        </w:tc>
      </w:tr>
    </w:tbl>
    <w:p w:rsidR="00000000" w:rsidRPr="00C11DD4" w:rsidP="00C11DD4">
      <w:pPr>
        <w:pStyle w:val="NoPaddingFontSize1"/>
      </w:pPr>
    </w:p>
    <w:p w:rsidR="00000000" w:rsidRPr="00C11DD4" w:rsidP="00C11DD4">
      <w:pPr>
        <w:pStyle w:val="AllowPageBreak"/>
      </w:pPr>
    </w:p>
    <w:p w:rsidR="00000000" w:rsidRPr="00C11DD4" w:rsidP="00C11DD4">
      <w:pPr>
        <w:pStyle w:val="Heading1"/>
      </w:pPr>
      <w:bookmarkStart w:id="10" w:name="O_1152418"/>
      <w:bookmarkEnd w:id="10"/>
      <w:r w:rsidRPr="00C11DD4">
        <w:t>Links</w:t>
      </w:r>
    </w:p>
    <w:p w:rsidR="00000000" w:rsidRPr="00C11DD4" w:rsidP="00EB4BD2">
      <w:pPr>
        <w:pStyle w:val="BodyText"/>
      </w:pPr>
      <w:r w:rsidRPr="00C11DD4">
        <w:t>Co</w:t>
      </w:r>
      <w:r w:rsidRPr="00C11DD4">
        <w:t xml:space="preserve">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E7A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11DD4" w:rsidP="00C11DD4"/>
    <w:sectPr w:rsidSect="00C11D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D4" w:rsidRPr="00EB4BD2" w:rsidP="00EB4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D2" w:rsidP="00C11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BD2" w:rsidP="00C11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B4BD2" w:rsidP="00C11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DD4" w:rsidRPr="00EB4BD2" w:rsidP="00EB4B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D2" w:rsidRPr="002D2AF8" w:rsidP="00C11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DEFSIM013 Manage simulator accreditation or in service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B4BD2" w:rsidP="00C11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DD4"/>
  </w:style>
  <w:style w:type="character" w:customStyle="1" w:styleId="Heading1Char">
    <w:name w:val="Heading 1 Char"/>
    <w:basedOn w:val="DefaultParagraphFont"/>
    <w:link w:val="Heading1"/>
    <w:rsid w:val="00C11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D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1DD4"/>
    <w:rPr>
      <w:b/>
      <w:spacing w:val="0"/>
    </w:rPr>
  </w:style>
  <w:style w:type="paragraph" w:customStyle="1" w:styleId="SuperHeading">
    <w:name w:val="SuperHeading"/>
    <w:basedOn w:val="Normal"/>
    <w:rsid w:val="00C11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1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D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D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1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D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D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DD4"/>
    <w:rPr>
      <w:i/>
    </w:rPr>
  </w:style>
  <w:style w:type="paragraph" w:styleId="Caption">
    <w:name w:val="caption"/>
    <w:basedOn w:val="BodyText"/>
    <w:next w:val="Normal"/>
    <w:qFormat/>
    <w:rsid w:val="00C11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DD4"/>
  </w:style>
  <w:style w:type="paragraph" w:styleId="TableofFigures">
    <w:name w:val="table of figures"/>
    <w:basedOn w:val="Normal"/>
    <w:next w:val="Normal"/>
    <w:semiHidden/>
    <w:rsid w:val="00C11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D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1DD4"/>
    <w:rPr>
      <w:rFonts w:ascii="Wingdings" w:hAnsi="Wingdings"/>
    </w:rPr>
  </w:style>
  <w:style w:type="paragraph" w:customStyle="1" w:styleId="TableHeading">
    <w:name w:val="Table Heading"/>
    <w:basedOn w:val="HeadingBase"/>
    <w:rsid w:val="00C11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DD4"/>
    <w:rPr>
      <w:color w:val="0033CC"/>
      <w:u w:val="none"/>
    </w:rPr>
  </w:style>
  <w:style w:type="paragraph" w:customStyle="1" w:styleId="BodyTextRight">
    <w:name w:val="Body Text Right"/>
    <w:basedOn w:val="BodyText"/>
    <w:rsid w:val="00C11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D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DD4"/>
    <w:rPr>
      <w:sz w:val="32"/>
    </w:rPr>
  </w:style>
  <w:style w:type="paragraph" w:customStyle="1" w:styleId="HeadingProcedure">
    <w:name w:val="Heading Procedure"/>
    <w:basedOn w:val="HeadingBase"/>
    <w:next w:val="Normal"/>
    <w:rsid w:val="00C11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DD4"/>
    <w:pPr>
      <w:spacing w:before="60" w:after="60"/>
    </w:pPr>
  </w:style>
  <w:style w:type="paragraph" w:styleId="ListContinue">
    <w:name w:val="List Continue"/>
    <w:basedOn w:val="List"/>
    <w:rsid w:val="00C11DD4"/>
    <w:pPr>
      <w:ind w:firstLine="0"/>
    </w:pPr>
  </w:style>
  <w:style w:type="paragraph" w:customStyle="1" w:styleId="ListNote">
    <w:name w:val="List Note"/>
    <w:basedOn w:val="List"/>
    <w:rsid w:val="00C11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DD4"/>
    <w:rPr>
      <w:rFonts w:ascii="Courier New" w:hAnsi="Courier New"/>
    </w:rPr>
  </w:style>
  <w:style w:type="paragraph" w:customStyle="1" w:styleId="NoteBullet">
    <w:name w:val="Note Bullet"/>
    <w:basedOn w:val="Note"/>
    <w:rsid w:val="00C11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D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1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DD4"/>
    <w:rPr>
      <w:b/>
      <w:smallCaps/>
    </w:rPr>
  </w:style>
  <w:style w:type="paragraph" w:customStyle="1" w:styleId="TableListNumber">
    <w:name w:val="Table List Number"/>
    <w:basedOn w:val="ListNumber"/>
    <w:rsid w:val="00C11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DD4"/>
    <w:pPr>
      <w:numPr>
        <w:numId w:val="7"/>
      </w:numPr>
    </w:pPr>
  </w:style>
  <w:style w:type="paragraph" w:customStyle="1" w:styleId="ListAlpha2">
    <w:name w:val="List Alpha 2"/>
    <w:basedOn w:val="List2"/>
    <w:rsid w:val="00C11DD4"/>
    <w:pPr>
      <w:numPr>
        <w:numId w:val="6"/>
      </w:numPr>
    </w:pPr>
  </w:style>
  <w:style w:type="paragraph" w:styleId="List2">
    <w:name w:val="List 2"/>
    <w:basedOn w:val="BodyText"/>
    <w:rsid w:val="00C11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D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D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1DD4"/>
    <w:pPr>
      <w:numPr>
        <w:numId w:val="2"/>
      </w:numPr>
    </w:pPr>
  </w:style>
  <w:style w:type="paragraph" w:styleId="ListContinue2">
    <w:name w:val="List Continue 2"/>
    <w:basedOn w:val="List2"/>
    <w:rsid w:val="00C11DD4"/>
    <w:pPr>
      <w:ind w:firstLine="0"/>
    </w:pPr>
  </w:style>
  <w:style w:type="paragraph" w:styleId="ListContinue3">
    <w:name w:val="List Continue 3"/>
    <w:basedOn w:val="List3"/>
    <w:rsid w:val="00C11DD4"/>
    <w:pPr>
      <w:ind w:left="1021" w:firstLine="0"/>
    </w:pPr>
  </w:style>
  <w:style w:type="paragraph" w:styleId="ListContinue4">
    <w:name w:val="List Continue 4"/>
    <w:basedOn w:val="List4"/>
    <w:rsid w:val="00C11DD4"/>
    <w:pPr>
      <w:ind w:firstLine="0"/>
    </w:pPr>
  </w:style>
  <w:style w:type="paragraph" w:styleId="ListContinue5">
    <w:name w:val="List Continue 5"/>
    <w:basedOn w:val="List5"/>
    <w:rsid w:val="00C11DD4"/>
    <w:pPr>
      <w:ind w:firstLine="0"/>
    </w:pPr>
  </w:style>
  <w:style w:type="paragraph" w:styleId="ListNumber3">
    <w:name w:val="List Number 3"/>
    <w:basedOn w:val="List3"/>
    <w:rsid w:val="00C11DD4"/>
    <w:pPr>
      <w:numPr>
        <w:numId w:val="3"/>
      </w:numPr>
    </w:pPr>
  </w:style>
  <w:style w:type="paragraph" w:styleId="ListNumber4">
    <w:name w:val="List Number 4"/>
    <w:basedOn w:val="List4"/>
    <w:rsid w:val="00C11DD4"/>
    <w:pPr>
      <w:numPr>
        <w:numId w:val="4"/>
      </w:numPr>
    </w:pPr>
  </w:style>
  <w:style w:type="paragraph" w:styleId="ListNumber5">
    <w:name w:val="List Number 5"/>
    <w:basedOn w:val="List5"/>
    <w:rsid w:val="00C11DD4"/>
    <w:pPr>
      <w:numPr>
        <w:numId w:val="5"/>
      </w:numPr>
    </w:pPr>
  </w:style>
  <w:style w:type="paragraph" w:styleId="BlockText">
    <w:name w:val="Block Text"/>
    <w:basedOn w:val="Normal"/>
    <w:rsid w:val="00C11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DD4"/>
    <w:rPr>
      <w:sz w:val="16"/>
      <w:vertAlign w:val="superscript"/>
    </w:rPr>
  </w:style>
  <w:style w:type="character" w:customStyle="1" w:styleId="Symbols">
    <w:name w:val="Symbols"/>
    <w:basedOn w:val="DefaultParagraphFont"/>
    <w:rsid w:val="00C11DD4"/>
    <w:rPr>
      <w:rFonts w:ascii="Symbol" w:hAnsi="Symbol"/>
    </w:rPr>
  </w:style>
  <w:style w:type="character" w:customStyle="1" w:styleId="MenuOptions">
    <w:name w:val="Menu Options"/>
    <w:basedOn w:val="DefaultParagraphFont"/>
    <w:rsid w:val="00C11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DD4"/>
    <w:rPr>
      <w:b/>
    </w:rPr>
  </w:style>
  <w:style w:type="character" w:customStyle="1" w:styleId="Underlined">
    <w:name w:val="Underlined"/>
    <w:basedOn w:val="DefaultParagraphFont"/>
    <w:rsid w:val="00C11DD4"/>
    <w:rPr>
      <w:u w:val="single"/>
    </w:rPr>
  </w:style>
  <w:style w:type="paragraph" w:customStyle="1" w:styleId="TableBodyTextRight">
    <w:name w:val="Table Body Text Right"/>
    <w:basedOn w:val="TableBodyText"/>
    <w:rsid w:val="00C11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DD4"/>
    <w:rPr>
      <w:sz w:val="18"/>
    </w:rPr>
  </w:style>
  <w:style w:type="paragraph" w:customStyle="1" w:styleId="BodySmallRight">
    <w:name w:val="Body Small Right"/>
    <w:basedOn w:val="BodyTextRight"/>
    <w:rsid w:val="00C11DD4"/>
    <w:rPr>
      <w:sz w:val="18"/>
      <w:szCs w:val="18"/>
    </w:rPr>
  </w:style>
  <w:style w:type="paragraph" w:customStyle="1" w:styleId="MarginEdition">
    <w:name w:val="Margin Edition"/>
    <w:basedOn w:val="MarginNote"/>
    <w:rsid w:val="00C11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DD4"/>
    <w:rPr>
      <w:sz w:val="2"/>
      <w:szCs w:val="2"/>
    </w:rPr>
  </w:style>
  <w:style w:type="character" w:customStyle="1" w:styleId="Small">
    <w:name w:val="Small"/>
    <w:basedOn w:val="DefaultParagraphFont"/>
    <w:rsid w:val="00C11DD4"/>
    <w:rPr>
      <w:sz w:val="16"/>
    </w:rPr>
  </w:style>
  <w:style w:type="paragraph" w:customStyle="1" w:styleId="WideTable">
    <w:name w:val="Wide Table"/>
    <w:basedOn w:val="Normal"/>
    <w:rsid w:val="00C11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DD4"/>
  </w:style>
  <w:style w:type="paragraph" w:styleId="Quote">
    <w:name w:val="Quote"/>
    <w:basedOn w:val="Heading1"/>
    <w:link w:val="QuoteChar"/>
    <w:qFormat/>
    <w:rsid w:val="00C11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DD4"/>
    <w:pPr>
      <w:pageBreakBefore/>
    </w:pPr>
  </w:style>
  <w:style w:type="paragraph" w:customStyle="1" w:styleId="Border">
    <w:name w:val="Border"/>
    <w:basedOn w:val="Normal"/>
    <w:qFormat/>
    <w:rsid w:val="00C11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DD4"/>
    <w:rPr>
      <w:u w:val="single"/>
    </w:rPr>
  </w:style>
  <w:style w:type="character" w:customStyle="1" w:styleId="BoldandItalics">
    <w:name w:val="Bold and Italics"/>
    <w:qFormat/>
    <w:rsid w:val="00C11DD4"/>
    <w:rPr>
      <w:b/>
      <w:i/>
      <w:u w:val="none"/>
    </w:rPr>
  </w:style>
  <w:style w:type="paragraph" w:styleId="BalloonText">
    <w:name w:val="Balloon Text"/>
    <w:basedOn w:val="Normal"/>
    <w:link w:val="BalloonTextChar"/>
    <w:rsid w:val="00C11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DD4"/>
    <w:pPr>
      <w:spacing w:before="0" w:after="0"/>
    </w:pPr>
  </w:style>
  <w:style w:type="paragraph" w:customStyle="1" w:styleId="BodyTextBold">
    <w:name w:val="Body Text Bold"/>
    <w:basedOn w:val="BodyText"/>
    <w:qFormat/>
    <w:rsid w:val="00C11DD4"/>
    <w:rPr>
      <w:b/>
    </w:rPr>
  </w:style>
  <w:style w:type="character" w:styleId="Hyperlink">
    <w:name w:val="Hyperlink"/>
    <w:basedOn w:val="DefaultParagraphFont"/>
    <w:uiPriority w:val="99"/>
    <w:unhideWhenUsed/>
    <w:rsid w:val="00EB4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4133</Characters>
  <Application>Microsoft Office Word</Application>
  <DocSecurity>0</DocSecurity>
  <Lines>179</Lines>
  <Paragraphs>91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DEFSIM013 Manage simulator accreditation or in service testing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2024-11-07T11:48:00Z</dcterms:created>
  <dcterms:modified xsi:type="dcterms:W3CDTF">2024-11-07T11:48:00Z</dcterms:modified>
</cp:coreProperties>
</file>