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AE7" w:rsidP="00083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DEFRNG034 Monitor training area and range activities</w:t>
      </w:r>
      <w:r>
        <w:fldChar w:fldCharType="end"/>
      </w:r>
    </w:p>
    <w:p w:rsidR="00083AE7" w:rsidP="00083AE7">
      <w:pPr>
        <w:pStyle w:val="Version"/>
        <w:sectPr w:rsidSect="00CA7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5EE" w:rsidP="00CA75EE">
      <w:pPr>
        <w:pStyle w:val="SuperHeading"/>
      </w:pPr>
      <w:r w:rsidRPr="00CA75EE">
        <w:t>Assessment Requirements for DEFRNG034 Monitor training area and range activities</w:t>
      </w:r>
    </w:p>
    <w:p w:rsidR="00000000" w:rsidRPr="00CA75EE" w:rsidP="00CA75EE">
      <w:pPr>
        <w:pStyle w:val="Heading1"/>
      </w:pPr>
      <w:bookmarkStart w:id="1" w:name="O_1239112"/>
      <w:bookmarkEnd w:id="1"/>
      <w:r w:rsidRPr="00CA75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5EE" w:rsidP="00CA75EE">
            <w:pPr>
              <w:pStyle w:val="BodyText"/>
            </w:pPr>
            <w:r w:rsidRPr="00CA75EE">
              <w:t>Release 1. This is the first release of this unit of competency in the DEF Defence Training Package.</w:t>
            </w:r>
          </w:p>
        </w:tc>
      </w:tr>
    </w:tbl>
    <w:p w:rsidR="00000000" w:rsidRPr="00CA75EE" w:rsidP="00CA75EE">
      <w:pPr>
        <w:pStyle w:val="NoPaddingFontSize1"/>
      </w:pPr>
    </w:p>
    <w:p w:rsidR="00000000" w:rsidRPr="00CA75EE" w:rsidP="00CA75EE">
      <w:pPr>
        <w:pStyle w:val="AllowPageBreak"/>
      </w:pPr>
    </w:p>
    <w:p w:rsidR="00000000" w:rsidRPr="00CA75EE" w:rsidP="00CA75EE">
      <w:pPr>
        <w:pStyle w:val="Heading1"/>
      </w:pPr>
      <w:bookmarkStart w:id="2" w:name="O_1239113"/>
      <w:bookmarkEnd w:id="2"/>
      <w:r w:rsidRPr="00CA75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5EE">
            <w:pPr>
              <w:pStyle w:val="BodyText"/>
              <w:rPr>
                <w:lang w:val="en-NZ"/>
              </w:rPr>
            </w:pPr>
            <w:r w:rsidRPr="00CA75E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5EE" w:rsidP="00CA75EE">
            <w:pPr>
              <w:pStyle w:val="ListBullet"/>
            </w:pPr>
            <w:r w:rsidRPr="00CA75EE">
              <w:t>accessing, interpreting and applying relevan</w:t>
            </w:r>
            <w:r w:rsidRPr="00CA75EE">
              <w:t>t legislation and training area and range (TAR) guidance, including at least two of the following:</w:t>
            </w:r>
          </w:p>
          <w:p w:rsidR="00000000" w:rsidRPr="00CA75EE" w:rsidP="00CA75EE">
            <w:pPr>
              <w:pStyle w:val="ListBullet2"/>
            </w:pPr>
            <w:r w:rsidRPr="00CA75EE">
              <w:t>Defence policy</w:t>
            </w:r>
          </w:p>
          <w:p w:rsidR="00000000" w:rsidRPr="00CA75EE" w:rsidP="00CA75EE">
            <w:pPr>
              <w:pStyle w:val="ListBullet2"/>
            </w:pPr>
            <w:r w:rsidRPr="00CA75EE">
              <w:t>emergency plans</w:t>
            </w:r>
          </w:p>
          <w:p w:rsidR="00000000" w:rsidRPr="00CA75EE" w:rsidP="00CA75EE">
            <w:pPr>
              <w:pStyle w:val="ListBullet2"/>
            </w:pPr>
            <w:r w:rsidRPr="00CA75EE">
              <w:t>environmental plans</w:t>
            </w:r>
          </w:p>
          <w:p w:rsidR="00000000" w:rsidRPr="00CA75EE" w:rsidP="00CA75EE">
            <w:pPr>
              <w:pStyle w:val="ListBullet2"/>
            </w:pPr>
            <w:r w:rsidRPr="00CA75EE">
              <w:t>TAR operating plans</w:t>
            </w:r>
          </w:p>
          <w:p w:rsidR="00000000" w:rsidRPr="00CA75EE" w:rsidP="00CA75EE">
            <w:pPr>
              <w:pStyle w:val="ListBullet2"/>
            </w:pPr>
            <w:r w:rsidRPr="00CA75EE">
              <w:t>TAR Standing Orders</w:t>
            </w:r>
          </w:p>
          <w:p w:rsidR="00000000" w:rsidRPr="00CA75EE" w:rsidP="00CA75EE">
            <w:pPr>
              <w:pStyle w:val="ListBullet2"/>
            </w:pPr>
            <w:r w:rsidRPr="00CA75EE">
              <w:t>work health and safety (WHS) legislation</w:t>
            </w:r>
          </w:p>
          <w:p w:rsidR="00000000" w:rsidRPr="00CA75EE" w:rsidP="00CA75EE">
            <w:pPr>
              <w:pStyle w:val="ListBullet"/>
            </w:pPr>
            <w:r w:rsidRPr="00CA75EE">
              <w:t>applying instructions/directives and reporting information</w:t>
            </w:r>
          </w:p>
          <w:p w:rsidR="00000000" w:rsidRPr="00CA75EE" w:rsidP="00CA75EE">
            <w:pPr>
              <w:pStyle w:val="ListBullet"/>
            </w:pPr>
            <w:r w:rsidRPr="00CA75EE">
              <w:t>applying organisational policies and procedures</w:t>
            </w:r>
          </w:p>
          <w:p w:rsidR="00000000" w:rsidRPr="00CA75EE" w:rsidP="00CA75EE">
            <w:pPr>
              <w:pStyle w:val="ListBullet"/>
            </w:pPr>
            <w:r w:rsidRPr="00CA75EE">
              <w:t>applying technical specifications, maps and diagrams</w:t>
            </w:r>
          </w:p>
          <w:p w:rsidR="00000000" w:rsidRPr="00CA75EE" w:rsidP="00CA75EE">
            <w:pPr>
              <w:pStyle w:val="ListBullet"/>
            </w:pPr>
            <w:r w:rsidRPr="00CA75EE">
              <w:t>maintaining records according to organisational policies and procedures</w:t>
            </w:r>
          </w:p>
          <w:p w:rsidR="00000000" w:rsidRPr="00CA75EE" w:rsidP="00CA75EE">
            <w:pPr>
              <w:pStyle w:val="ListBullet"/>
            </w:pPr>
            <w:r w:rsidRPr="00CA75EE">
              <w:t>monitoring and supportin</w:t>
            </w:r>
            <w:r w:rsidRPr="00CA75EE">
              <w:t>g emergency plans</w:t>
            </w:r>
          </w:p>
          <w:p w:rsidR="00000000" w:rsidRPr="00CA75EE" w:rsidP="00CA75EE">
            <w:pPr>
              <w:pStyle w:val="ListBullet"/>
            </w:pPr>
            <w:r w:rsidRPr="00CA75EE">
              <w:t>monitoring compliance of TAR activities</w:t>
            </w:r>
          </w:p>
          <w:p w:rsidR="00000000" w:rsidRPr="00CA75EE" w:rsidP="00CA75EE">
            <w:pPr>
              <w:pStyle w:val="ListBullet"/>
            </w:pPr>
            <w:r w:rsidRPr="00CA75EE">
              <w:t>monitoring contractor activities.</w:t>
            </w:r>
          </w:p>
        </w:tc>
      </w:tr>
    </w:tbl>
    <w:p w:rsidR="00000000" w:rsidRPr="00CA75EE" w:rsidP="00CA75EE">
      <w:pPr>
        <w:pStyle w:val="NoPaddingFontSize1"/>
      </w:pPr>
    </w:p>
    <w:p w:rsidR="00000000" w:rsidRPr="00CA75EE" w:rsidP="00CA75EE">
      <w:pPr>
        <w:pStyle w:val="AllowPageBreak"/>
      </w:pPr>
    </w:p>
    <w:p w:rsidR="00000000" w:rsidRPr="00CA75EE" w:rsidP="00CA75EE">
      <w:pPr>
        <w:pStyle w:val="Heading1"/>
      </w:pPr>
      <w:bookmarkStart w:id="3" w:name="O_1239114"/>
      <w:bookmarkEnd w:id="3"/>
      <w:r w:rsidRPr="00CA75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5EE">
            <w:pPr>
              <w:pStyle w:val="BodyText"/>
              <w:rPr>
                <w:lang w:val="en-NZ"/>
              </w:rPr>
            </w:pPr>
            <w:r w:rsidRPr="00CA75E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5EE" w:rsidP="00CA75EE">
            <w:pPr>
              <w:pStyle w:val="ListBullet"/>
            </w:pPr>
            <w:r w:rsidRPr="00CA75EE">
              <w:t>communication techniques</w:t>
            </w:r>
          </w:p>
          <w:p w:rsidR="00000000" w:rsidRPr="00CA75EE" w:rsidP="00CA75EE">
            <w:pPr>
              <w:pStyle w:val="ListBullet"/>
            </w:pPr>
            <w:r w:rsidRPr="00CA75EE">
              <w:t>emergency plans</w:t>
            </w:r>
          </w:p>
          <w:p w:rsidR="00000000" w:rsidRPr="00CA75EE" w:rsidP="00CA75EE">
            <w:pPr>
              <w:pStyle w:val="ListBullet"/>
            </w:pPr>
            <w:r w:rsidRPr="00CA75EE">
              <w:t>exercise instructions</w:t>
            </w:r>
          </w:p>
          <w:p w:rsidR="00000000" w:rsidRPr="00CA75EE" w:rsidP="00CA75EE">
            <w:pPr>
              <w:pStyle w:val="ListBullet"/>
            </w:pPr>
            <w:r w:rsidRPr="00CA75EE">
              <w:t>organisational</w:t>
            </w:r>
            <w:r w:rsidRPr="00CA75EE">
              <w:t xml:space="preserve"> policies and procedures</w:t>
            </w:r>
          </w:p>
          <w:p w:rsidR="00000000" w:rsidRPr="00CA75EE" w:rsidP="00CA75EE">
            <w:pPr>
              <w:pStyle w:val="ListBullet"/>
            </w:pPr>
            <w:r w:rsidRPr="00CA75EE">
              <w:t>post-activity reports</w:t>
            </w:r>
          </w:p>
          <w:p w:rsidR="00000000" w:rsidRPr="00CA75EE" w:rsidP="00CA75EE">
            <w:pPr>
              <w:pStyle w:val="ListBullet"/>
            </w:pPr>
            <w:r w:rsidRPr="00CA75EE">
              <w:t>range clearance certificates</w:t>
            </w:r>
          </w:p>
          <w:p w:rsidR="00000000" w:rsidRPr="00CA75EE" w:rsidP="00CA75EE">
            <w:pPr>
              <w:pStyle w:val="ListBullet"/>
            </w:pPr>
            <w:r w:rsidRPr="00CA75EE">
              <w:t>range instructions</w:t>
            </w:r>
          </w:p>
          <w:p w:rsidR="00000000" w:rsidRPr="00CA75EE" w:rsidP="00CA75EE">
            <w:pPr>
              <w:pStyle w:val="ListBullet"/>
            </w:pPr>
            <w:r w:rsidRPr="00CA75EE">
              <w:t>range practices</w:t>
            </w:r>
          </w:p>
          <w:p w:rsidR="00000000" w:rsidRPr="00CA75EE" w:rsidP="00CA75EE">
            <w:pPr>
              <w:pStyle w:val="ListBullet"/>
            </w:pPr>
            <w:r w:rsidRPr="00CA75EE">
              <w:t>standing operating instructions</w:t>
            </w:r>
          </w:p>
          <w:p w:rsidR="00000000" w:rsidRPr="00CA75EE" w:rsidP="00CA75EE">
            <w:pPr>
              <w:pStyle w:val="ListBullet"/>
            </w:pPr>
            <w:r w:rsidRPr="00CA75EE">
              <w:t>TAR operating plans</w:t>
            </w:r>
          </w:p>
          <w:p w:rsidR="00000000" w:rsidRPr="00CA75EE" w:rsidP="00CA75EE">
            <w:pPr>
              <w:pStyle w:val="ListBullet"/>
            </w:pPr>
            <w:r w:rsidRPr="00CA75EE">
              <w:t>TAR Standing Orders</w:t>
            </w:r>
          </w:p>
          <w:p w:rsidR="00000000" w:rsidRPr="00CA75EE" w:rsidP="00CA75EE">
            <w:pPr>
              <w:pStyle w:val="ListBullet"/>
            </w:pPr>
            <w:r w:rsidRPr="00CA75EE">
              <w:t>weapon systems characteristics.</w:t>
            </w:r>
          </w:p>
        </w:tc>
      </w:tr>
    </w:tbl>
    <w:p w:rsidR="00000000" w:rsidRPr="00CA75EE" w:rsidP="00CA75EE">
      <w:pPr>
        <w:pStyle w:val="NoPaddingFontSize1"/>
      </w:pPr>
    </w:p>
    <w:p w:rsidR="00000000" w:rsidRPr="00CA75EE" w:rsidP="00CA75EE">
      <w:pPr>
        <w:pStyle w:val="AllowPageBreak"/>
      </w:pPr>
    </w:p>
    <w:p w:rsidR="00000000" w:rsidRPr="00CA75EE" w:rsidP="00CA75EE">
      <w:pPr>
        <w:pStyle w:val="Heading1"/>
      </w:pPr>
      <w:bookmarkStart w:id="4" w:name="O_1239115"/>
      <w:bookmarkEnd w:id="4"/>
      <w:r w:rsidRPr="00CA75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5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5EE" w:rsidP="00CA75EE">
            <w:pPr>
              <w:pStyle w:val="BodyText"/>
            </w:pPr>
            <w:r w:rsidRPr="00CA75EE">
              <w:t xml:space="preserve">Assessors must hold credentials specified within the Standards for Registered Training Organisations current at the time of assessment. </w:t>
            </w:r>
          </w:p>
          <w:p w:rsidR="00000000" w:rsidRPr="00CA75EE" w:rsidP="00CA75EE">
            <w:pPr>
              <w:pStyle w:val="BodyText"/>
            </w:pPr>
            <w:r w:rsidRPr="00CA75EE">
              <w:t>Assessment must satisfy the Principles of Assessment and Rules of Evidence and all regulatory req</w:t>
            </w:r>
            <w:r w:rsidRPr="00CA75EE">
              <w:t>uirements included within the Standards for Registered Training Organisations current at the time of assessment.</w:t>
            </w:r>
          </w:p>
          <w:p w:rsidR="00000000" w:rsidRPr="00CA75EE" w:rsidP="00CA75EE">
            <w:pPr>
              <w:pStyle w:val="BodyText"/>
            </w:pPr>
            <w:r w:rsidRPr="00CA75EE">
              <w:t>Assessment must occur in workplace operational situations where it is appropriate to do so; where this is not appropriate, assessment must occu</w:t>
            </w:r>
            <w:r w:rsidRPr="00CA75EE">
              <w:t>r in simulated workplace operational situations that replicate workplace conditions.</w:t>
            </w:r>
          </w:p>
          <w:p w:rsidR="00000000" w:rsidRPr="00CA75EE" w:rsidP="00CA75EE">
            <w:pPr>
              <w:pStyle w:val="BodyText"/>
            </w:pPr>
            <w:r w:rsidRPr="00CA75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75EE" w:rsidP="00CA75EE">
            <w:pPr>
              <w:pStyle w:val="BodyText"/>
            </w:pPr>
            <w:r w:rsidRPr="00CA75EE">
              <w:t>Res</w:t>
            </w:r>
            <w:r w:rsidRPr="00CA75EE">
              <w:t>ources for assessment must include access to:</w:t>
            </w:r>
          </w:p>
          <w:p w:rsidR="00000000" w:rsidRPr="00CA75EE" w:rsidP="00CA75EE">
            <w:pPr>
              <w:pStyle w:val="ListBullet"/>
            </w:pPr>
            <w:r w:rsidRPr="00CA75EE">
              <w:t>a range of relevant exercises, case studies and/or simulations</w:t>
            </w:r>
          </w:p>
          <w:p w:rsidR="00000000" w:rsidRPr="00CA75EE" w:rsidP="00CA75EE">
            <w:pPr>
              <w:pStyle w:val="ListBullet"/>
            </w:pPr>
            <w:r w:rsidRPr="00CA75EE">
              <w:t>applicable documentation, including legislation, regulations, codes of practice, workplace procedures and operation manuals</w:t>
            </w:r>
          </w:p>
          <w:p w:rsidR="00000000" w:rsidRPr="00CA75EE" w:rsidP="00CA75EE">
            <w:pPr>
              <w:pStyle w:val="ListBullet"/>
            </w:pPr>
            <w:r w:rsidRPr="00CA75EE">
              <w:t>relevant and appropria</w:t>
            </w:r>
            <w:r w:rsidRPr="00CA75EE">
              <w:t>te materials, tools, equipment and personal protective equipment (PPE) currently used in industry.</w:t>
            </w:r>
          </w:p>
        </w:tc>
      </w:tr>
    </w:tbl>
    <w:p w:rsidR="00000000" w:rsidRPr="00CA75EE" w:rsidP="00CA75EE">
      <w:pPr>
        <w:pStyle w:val="NoPaddingFontSize1"/>
      </w:pPr>
    </w:p>
    <w:p w:rsidR="00000000" w:rsidRPr="00CA75EE" w:rsidP="00CA75EE">
      <w:pPr>
        <w:pStyle w:val="AllowPageBreak"/>
      </w:pPr>
    </w:p>
    <w:p w:rsidR="00000000" w:rsidRPr="00CA75EE" w:rsidP="00CA75EE">
      <w:pPr>
        <w:pStyle w:val="Heading1"/>
      </w:pPr>
      <w:bookmarkStart w:id="5" w:name="O_1239118"/>
      <w:bookmarkEnd w:id="5"/>
      <w:r w:rsidRPr="00CA75EE">
        <w:t>Links</w:t>
      </w:r>
    </w:p>
    <w:p w:rsidR="00000000" w:rsidRPr="00CA75EE" w:rsidP="00083AE7">
      <w:pPr>
        <w:pStyle w:val="BodyText"/>
      </w:pPr>
      <w:r w:rsidRPr="00CA75E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048C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75EE" w:rsidP="00CA75EE"/>
    <w:sectPr w:rsidSect="00CA7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EE" w:rsidRPr="00083AE7" w:rsidP="00083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7" w:rsidP="00CA7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AE7" w:rsidP="00CA7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83AE7" w:rsidP="00CA7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5EE" w:rsidRPr="00083AE7" w:rsidP="00083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AE7" w:rsidRPr="002D2AF8" w:rsidP="00CA7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DEFRNG034 Monitor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83AE7" w:rsidP="00CA7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843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A9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47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5EE"/>
  </w:style>
  <w:style w:type="character" w:customStyle="1" w:styleId="Heading1Char">
    <w:name w:val="Heading 1 Char"/>
    <w:basedOn w:val="DefaultParagraphFont"/>
    <w:link w:val="Heading1"/>
    <w:rsid w:val="00CA7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5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75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5EE"/>
    <w:rPr>
      <w:b/>
      <w:spacing w:val="0"/>
    </w:rPr>
  </w:style>
  <w:style w:type="paragraph" w:customStyle="1" w:styleId="SuperTitle">
    <w:name w:val="SuperTitle"/>
    <w:basedOn w:val="Title"/>
    <w:rsid w:val="00CA7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5EE"/>
    <w:rPr>
      <w:i/>
    </w:rPr>
  </w:style>
  <w:style w:type="paragraph" w:styleId="Caption">
    <w:name w:val="caption"/>
    <w:basedOn w:val="BodyText"/>
    <w:next w:val="Normal"/>
    <w:qFormat/>
    <w:rsid w:val="00CA7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5EE"/>
  </w:style>
  <w:style w:type="paragraph" w:styleId="TableofFigures">
    <w:name w:val="table of figures"/>
    <w:basedOn w:val="Normal"/>
    <w:next w:val="Normal"/>
    <w:semiHidden/>
    <w:rsid w:val="00CA7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5EE"/>
    <w:rPr>
      <w:rFonts w:ascii="Wingdings" w:hAnsi="Wingdings"/>
    </w:rPr>
  </w:style>
  <w:style w:type="paragraph" w:customStyle="1" w:styleId="TableHeading">
    <w:name w:val="Table Heading"/>
    <w:basedOn w:val="HeadingBase"/>
    <w:rsid w:val="00CA7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5EE"/>
    <w:rPr>
      <w:color w:val="0033CC"/>
      <w:u w:val="none"/>
    </w:rPr>
  </w:style>
  <w:style w:type="paragraph" w:customStyle="1" w:styleId="BodyTextRight">
    <w:name w:val="Body Text Right"/>
    <w:basedOn w:val="BodyText"/>
    <w:rsid w:val="00CA7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5EE"/>
    <w:rPr>
      <w:sz w:val="32"/>
    </w:rPr>
  </w:style>
  <w:style w:type="paragraph" w:customStyle="1" w:styleId="HeadingProcedure">
    <w:name w:val="Heading Procedure"/>
    <w:basedOn w:val="HeadingBase"/>
    <w:next w:val="Normal"/>
    <w:rsid w:val="00CA7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5EE"/>
    <w:pPr>
      <w:spacing w:before="60" w:after="60"/>
    </w:pPr>
  </w:style>
  <w:style w:type="paragraph" w:styleId="ListContinue">
    <w:name w:val="List Continue"/>
    <w:basedOn w:val="List"/>
    <w:rsid w:val="00CA75EE"/>
    <w:pPr>
      <w:ind w:firstLine="0"/>
    </w:pPr>
  </w:style>
  <w:style w:type="paragraph" w:customStyle="1" w:styleId="ListNote">
    <w:name w:val="List Note"/>
    <w:basedOn w:val="List"/>
    <w:rsid w:val="00CA7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5EE"/>
    <w:rPr>
      <w:rFonts w:ascii="Courier New" w:hAnsi="Courier New"/>
    </w:rPr>
  </w:style>
  <w:style w:type="paragraph" w:customStyle="1" w:styleId="NoteBullet">
    <w:name w:val="Note Bullet"/>
    <w:basedOn w:val="Note"/>
    <w:rsid w:val="00CA7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5EE"/>
    <w:rPr>
      <w:b/>
      <w:smallCaps/>
    </w:rPr>
  </w:style>
  <w:style w:type="paragraph" w:customStyle="1" w:styleId="TableListNumber">
    <w:name w:val="Table List Number"/>
    <w:basedOn w:val="ListNumber"/>
    <w:rsid w:val="00CA7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5EE"/>
    <w:pPr>
      <w:numPr>
        <w:numId w:val="9"/>
      </w:numPr>
    </w:pPr>
  </w:style>
  <w:style w:type="paragraph" w:customStyle="1" w:styleId="ListAlpha2">
    <w:name w:val="List Alpha 2"/>
    <w:basedOn w:val="List2"/>
    <w:rsid w:val="00CA75EE"/>
    <w:pPr>
      <w:numPr>
        <w:numId w:val="8"/>
      </w:numPr>
    </w:pPr>
  </w:style>
  <w:style w:type="paragraph" w:styleId="List2">
    <w:name w:val="List 2"/>
    <w:basedOn w:val="BodyText"/>
    <w:rsid w:val="00CA7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5EE"/>
    <w:pPr>
      <w:numPr>
        <w:numId w:val="4"/>
      </w:numPr>
    </w:pPr>
  </w:style>
  <w:style w:type="paragraph" w:styleId="ListContinue2">
    <w:name w:val="List Continue 2"/>
    <w:basedOn w:val="List2"/>
    <w:rsid w:val="00CA75EE"/>
    <w:pPr>
      <w:ind w:firstLine="0"/>
    </w:pPr>
  </w:style>
  <w:style w:type="paragraph" w:styleId="ListContinue3">
    <w:name w:val="List Continue 3"/>
    <w:basedOn w:val="List3"/>
    <w:rsid w:val="00CA75EE"/>
    <w:pPr>
      <w:ind w:left="1021" w:firstLine="0"/>
    </w:pPr>
  </w:style>
  <w:style w:type="paragraph" w:styleId="ListContinue4">
    <w:name w:val="List Continue 4"/>
    <w:basedOn w:val="List4"/>
    <w:rsid w:val="00CA75EE"/>
    <w:pPr>
      <w:ind w:firstLine="0"/>
    </w:pPr>
  </w:style>
  <w:style w:type="paragraph" w:styleId="ListContinue5">
    <w:name w:val="List Continue 5"/>
    <w:basedOn w:val="List5"/>
    <w:rsid w:val="00CA75EE"/>
    <w:pPr>
      <w:ind w:firstLine="0"/>
    </w:pPr>
  </w:style>
  <w:style w:type="paragraph" w:styleId="ListNumber3">
    <w:name w:val="List Number 3"/>
    <w:basedOn w:val="List3"/>
    <w:rsid w:val="00CA75EE"/>
    <w:pPr>
      <w:numPr>
        <w:numId w:val="5"/>
      </w:numPr>
    </w:pPr>
  </w:style>
  <w:style w:type="paragraph" w:styleId="ListNumber4">
    <w:name w:val="List Number 4"/>
    <w:basedOn w:val="List4"/>
    <w:rsid w:val="00CA75EE"/>
    <w:pPr>
      <w:numPr>
        <w:numId w:val="6"/>
      </w:numPr>
    </w:pPr>
  </w:style>
  <w:style w:type="paragraph" w:styleId="ListNumber5">
    <w:name w:val="List Number 5"/>
    <w:basedOn w:val="List5"/>
    <w:rsid w:val="00CA75EE"/>
    <w:pPr>
      <w:numPr>
        <w:numId w:val="7"/>
      </w:numPr>
    </w:pPr>
  </w:style>
  <w:style w:type="paragraph" w:styleId="BlockText">
    <w:name w:val="Block Text"/>
    <w:basedOn w:val="Normal"/>
    <w:rsid w:val="00CA7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5EE"/>
    <w:rPr>
      <w:sz w:val="16"/>
      <w:vertAlign w:val="superscript"/>
    </w:rPr>
  </w:style>
  <w:style w:type="character" w:customStyle="1" w:styleId="Symbols">
    <w:name w:val="Symbols"/>
    <w:basedOn w:val="DefaultParagraphFont"/>
    <w:rsid w:val="00CA75EE"/>
    <w:rPr>
      <w:rFonts w:ascii="Symbol" w:hAnsi="Symbol"/>
    </w:rPr>
  </w:style>
  <w:style w:type="character" w:customStyle="1" w:styleId="MenuOptions">
    <w:name w:val="Menu Options"/>
    <w:basedOn w:val="DefaultParagraphFont"/>
    <w:rsid w:val="00CA7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5EE"/>
    <w:rPr>
      <w:b/>
    </w:rPr>
  </w:style>
  <w:style w:type="character" w:customStyle="1" w:styleId="Underlined">
    <w:name w:val="Underlined"/>
    <w:basedOn w:val="DefaultParagraphFont"/>
    <w:rsid w:val="00CA75EE"/>
    <w:rPr>
      <w:u w:val="single"/>
    </w:rPr>
  </w:style>
  <w:style w:type="paragraph" w:customStyle="1" w:styleId="TableBodyTextRight">
    <w:name w:val="Table Body Text Right"/>
    <w:basedOn w:val="TableBodyText"/>
    <w:rsid w:val="00CA7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5EE"/>
    <w:rPr>
      <w:sz w:val="18"/>
    </w:rPr>
  </w:style>
  <w:style w:type="paragraph" w:customStyle="1" w:styleId="BodySmallRight">
    <w:name w:val="Body Small Right"/>
    <w:basedOn w:val="BodyTextRight"/>
    <w:rsid w:val="00CA75EE"/>
    <w:rPr>
      <w:sz w:val="18"/>
      <w:szCs w:val="18"/>
    </w:rPr>
  </w:style>
  <w:style w:type="paragraph" w:customStyle="1" w:styleId="MarginEdition">
    <w:name w:val="Margin Edition"/>
    <w:basedOn w:val="MarginNote"/>
    <w:rsid w:val="00CA7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5EE"/>
    <w:rPr>
      <w:sz w:val="2"/>
      <w:szCs w:val="2"/>
    </w:rPr>
  </w:style>
  <w:style w:type="character" w:customStyle="1" w:styleId="Small">
    <w:name w:val="Small"/>
    <w:basedOn w:val="DefaultParagraphFont"/>
    <w:rsid w:val="00CA75EE"/>
    <w:rPr>
      <w:sz w:val="16"/>
    </w:rPr>
  </w:style>
  <w:style w:type="paragraph" w:customStyle="1" w:styleId="WideTable">
    <w:name w:val="Wide Table"/>
    <w:basedOn w:val="Normal"/>
    <w:rsid w:val="00CA7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5EE"/>
  </w:style>
  <w:style w:type="paragraph" w:styleId="Quote">
    <w:name w:val="Quote"/>
    <w:basedOn w:val="Heading1"/>
    <w:link w:val="QuoteChar"/>
    <w:qFormat/>
    <w:rsid w:val="00CA7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5EE"/>
    <w:pPr>
      <w:pageBreakBefore/>
    </w:pPr>
  </w:style>
  <w:style w:type="paragraph" w:customStyle="1" w:styleId="Border">
    <w:name w:val="Border"/>
    <w:basedOn w:val="Normal"/>
    <w:qFormat/>
    <w:rsid w:val="00CA7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5EE"/>
    <w:rPr>
      <w:u w:val="single"/>
    </w:rPr>
  </w:style>
  <w:style w:type="character" w:customStyle="1" w:styleId="BoldandItalics">
    <w:name w:val="Bold and Italics"/>
    <w:qFormat/>
    <w:rsid w:val="00CA75EE"/>
    <w:rPr>
      <w:b/>
      <w:i/>
      <w:u w:val="none"/>
    </w:rPr>
  </w:style>
  <w:style w:type="paragraph" w:styleId="BalloonText">
    <w:name w:val="Balloon Text"/>
    <w:basedOn w:val="Normal"/>
    <w:link w:val="BalloonTextChar"/>
    <w:rsid w:val="00CA7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5EE"/>
    <w:pPr>
      <w:spacing w:before="0" w:after="0"/>
    </w:pPr>
  </w:style>
  <w:style w:type="paragraph" w:customStyle="1" w:styleId="BodyTextBold">
    <w:name w:val="Body Text Bold"/>
    <w:basedOn w:val="BodyText"/>
    <w:qFormat/>
    <w:rsid w:val="00CA75EE"/>
    <w:rPr>
      <w:b/>
    </w:rPr>
  </w:style>
  <w:style w:type="character" w:styleId="Hyperlink">
    <w:name w:val="Hyperlink"/>
    <w:basedOn w:val="DefaultParagraphFont"/>
    <w:uiPriority w:val="99"/>
    <w:unhideWhenUsed/>
    <w:rsid w:val="00083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2686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DEFRNG034 Monitor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