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00F" w:rsidP="00C76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DEFRNG014 Monitor training area and range activities</w:t>
      </w:r>
      <w:r>
        <w:fldChar w:fldCharType="end"/>
      </w:r>
    </w:p>
    <w:p w:rsidR="00C7600F" w:rsidP="00C7600F">
      <w:pPr>
        <w:pStyle w:val="Version"/>
        <w:sectPr w:rsidSect="004B5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E6E" w:rsidP="004B5E6E">
      <w:pPr>
        <w:pStyle w:val="SuperHeading"/>
      </w:pPr>
      <w:r w:rsidRPr="004B5E6E">
        <w:t>DEFRNG014 Monitor training area and range activities</w:t>
      </w:r>
    </w:p>
    <w:p w:rsidR="00000000" w:rsidRPr="004B5E6E" w:rsidP="004B5E6E">
      <w:pPr>
        <w:pStyle w:val="Heading1"/>
      </w:pPr>
      <w:bookmarkStart w:id="1" w:name="O_958895"/>
      <w:bookmarkEnd w:id="1"/>
      <w:r w:rsidRPr="004B5E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Release 1. This is the first release of this unit of competency in the DEF Defence Training Package.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2" w:name="O_958896"/>
      <w:bookmarkEnd w:id="2"/>
      <w:r w:rsidRPr="004B5E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 xml:space="preserve">This unit describes the skills required to monitor training area and range (TAR) activities to </w:t>
            </w:r>
            <w:r w:rsidRPr="004B5E6E">
              <w:t>ensure those activities comply with Standing Orders, relevant policy and instructions.</w:t>
            </w:r>
          </w:p>
          <w:p w:rsidR="00000000" w:rsidRPr="004B5E6E" w:rsidP="004B5E6E">
            <w:pPr>
              <w:pStyle w:val="BodyText"/>
            </w:pPr>
            <w:r w:rsidRPr="004B5E6E">
              <w:t>This unit was developed for Defence personnel who work in range management and range control but may be relevant to others who work in this field.</w:t>
            </w:r>
          </w:p>
          <w:p w:rsidR="00000000" w:rsidRPr="004B5E6E" w:rsidP="004B5E6E">
            <w:pPr>
              <w:pStyle w:val="BodyText"/>
            </w:pPr>
            <w:r w:rsidRPr="004B5E6E">
              <w:t>The skills and knowled</w:t>
            </w:r>
            <w:r w:rsidRPr="004B5E6E">
              <w:t>ge 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4B5E6E" w:rsidP="004B5E6E">
            <w:pPr>
              <w:pStyle w:val="BodyText"/>
            </w:pPr>
            <w:r w:rsidRPr="004B5E6E">
              <w:t>Those undertaking this unit would work independently</w:t>
            </w:r>
            <w:r w:rsidRPr="004B5E6E">
              <w:t xml:space="preserve"> or as part of a team, under indirect supervision, while performing complex tasks, in a range of familiar and unfamiliar contexts. They would use discretion and judgement and take responsibility for the quality of their outputs.</w:t>
            </w:r>
          </w:p>
          <w:p w:rsidR="00000000" w:rsidRPr="004B5E6E" w:rsidP="004B5E6E">
            <w:pPr>
              <w:pStyle w:val="BodyText"/>
            </w:pPr>
            <w:r w:rsidRPr="004B5E6E">
              <w:t>No licensing, legislative o</w:t>
            </w:r>
            <w:r w:rsidRPr="004B5E6E">
              <w:t>r certification requirements apply to this unit at the time of publication.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3" w:name="O_958897"/>
      <w:bookmarkEnd w:id="3"/>
      <w:r w:rsidRPr="004B5E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Not applicable.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4" w:name="O_958898"/>
      <w:bookmarkEnd w:id="4"/>
      <w:r w:rsidRPr="004B5E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Range Management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5" w:name="O_958899"/>
      <w:bookmarkEnd w:id="5"/>
      <w:r w:rsidRPr="004B5E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Not applicable.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6" w:name="O_958900"/>
      <w:bookmarkEnd w:id="6"/>
      <w:r w:rsidRPr="004B5E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PERFORMANCE CRITERIA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Performance criteria describe the performance needed to demonstrate achievement of the element.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Prepare for monitoring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Plan to view TAR activities in accordance with TAR Standing Orders and activity schedules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Clarify purpose and outcomes of activities in accordance with TAR Standing Orders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Establish clearances and</w:t>
            </w:r>
            <w:r w:rsidRPr="004B5E6E">
              <w:t xml:space="preserve"> access to activities in accordance with TAR Standing Orders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Monitor compliance of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Monitor TAR activities to ensure compliance with relevant policies and instructions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Regulate non-compliant activities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Monitor contractor acti</w:t>
            </w:r>
            <w:r w:rsidRPr="004B5E6E">
              <w:rPr>
                <w:rStyle w:val="SpecialBold"/>
              </w:rPr>
              <w:t>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Establish and maintain communications and working relations with contractors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Monitor contractor activities in accordance with relevant controls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Report non-compliance in accordance with relevant instructions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rPr>
                <w:rStyle w:val="SpecialBold"/>
              </w:rPr>
              <w:t>Contribute to and monitor emergency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Contribute to the maintenance of emergency plans related to the TAR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t>Implement and maintain emergency plans</w:t>
            </w:r>
          </w:p>
        </w:tc>
      </w:tr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6E">
            <w:pPr>
              <w:pStyle w:val="BodyText"/>
              <w:rPr>
                <w:lang w:val="en-NZ"/>
              </w:rPr>
            </w:pPr>
            <w:r w:rsidRPr="004B5E6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Monitor the application of emergency plans related to the TAR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7" w:name="O_958901"/>
      <w:bookmarkEnd w:id="7"/>
      <w:r w:rsidRPr="004B5E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Foundation skills essential to performance are explicit in the performance criteria of this unit of competency.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8" w:name="O_958902"/>
      <w:bookmarkEnd w:id="8"/>
      <w:r w:rsidRPr="004B5E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Range is restricted to essential operating conditions and any other variables essential</w:t>
            </w:r>
            <w:r w:rsidRPr="004B5E6E">
              <w:t xml:space="preserve"> to the work environment.</w:t>
            </w:r>
          </w:p>
          <w:p w:rsidR="00000000" w:rsidRPr="004B5E6E" w:rsidP="004B5E6E">
            <w:pPr>
              <w:pStyle w:val="BodyText"/>
            </w:pPr>
            <w:r w:rsidRPr="004B5E6E">
              <w:t>Non-essential conditions may be found in the Companion Volume Implementation Guide.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9" w:name="O_958903"/>
      <w:bookmarkEnd w:id="9"/>
      <w:r w:rsidRPr="004B5E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6E" w:rsidP="004B5E6E">
            <w:pPr>
              <w:pStyle w:val="BodyText"/>
            </w:pPr>
            <w:r w:rsidRPr="004B5E6E">
              <w:t>No equivalent unit.</w:t>
            </w:r>
          </w:p>
        </w:tc>
      </w:tr>
    </w:tbl>
    <w:p w:rsidR="00000000" w:rsidRPr="004B5E6E" w:rsidP="004B5E6E">
      <w:pPr>
        <w:pStyle w:val="NoPaddingFontSize1"/>
      </w:pPr>
    </w:p>
    <w:p w:rsidR="00000000" w:rsidRPr="004B5E6E" w:rsidP="004B5E6E">
      <w:pPr>
        <w:pStyle w:val="AllowPageBreak"/>
      </w:pPr>
    </w:p>
    <w:p w:rsidR="00000000" w:rsidRPr="004B5E6E" w:rsidP="004B5E6E">
      <w:pPr>
        <w:pStyle w:val="Heading1"/>
      </w:pPr>
      <w:bookmarkStart w:id="10" w:name="O_958910"/>
      <w:bookmarkEnd w:id="10"/>
      <w:r w:rsidRPr="004B5E6E">
        <w:t>Links</w:t>
      </w:r>
    </w:p>
    <w:p w:rsidR="00000000" w:rsidRPr="004B5E6E" w:rsidP="00C7600F">
      <w:pPr>
        <w:pStyle w:val="BodyText"/>
      </w:pPr>
      <w:r w:rsidRPr="004B5E6E">
        <w:t>Companion Volume implementation guides are found in VETNe</w:t>
      </w:r>
      <w:r w:rsidRPr="004B5E6E">
        <w:t xml:space="preserve">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F70F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5E6E" w:rsidP="004B5E6E"/>
    <w:sectPr w:rsidSect="004B5E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E" w:rsidRPr="00C7600F" w:rsidP="00C76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0F" w:rsidP="004B5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00F" w:rsidP="004B5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7600F" w:rsidP="004B5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E6E" w:rsidRPr="00C7600F" w:rsidP="00C76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0F" w:rsidRPr="002D2AF8" w:rsidP="004B5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DEFRNG014 Monitor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7600F" w:rsidP="004B5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E6E"/>
  </w:style>
  <w:style w:type="character" w:customStyle="1" w:styleId="Heading1Char">
    <w:name w:val="Heading 1 Char"/>
    <w:basedOn w:val="DefaultParagraphFont"/>
    <w:link w:val="Heading1"/>
    <w:rsid w:val="004B5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E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5E6E"/>
    <w:rPr>
      <w:b/>
      <w:spacing w:val="0"/>
    </w:rPr>
  </w:style>
  <w:style w:type="paragraph" w:customStyle="1" w:styleId="SuperHeading">
    <w:name w:val="SuperHeading"/>
    <w:basedOn w:val="Normal"/>
    <w:rsid w:val="004B5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E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E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5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E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E6E"/>
    <w:rPr>
      <w:i/>
    </w:rPr>
  </w:style>
  <w:style w:type="paragraph" w:styleId="Caption">
    <w:name w:val="caption"/>
    <w:basedOn w:val="BodyText"/>
    <w:next w:val="Normal"/>
    <w:qFormat/>
    <w:rsid w:val="004B5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E6E"/>
  </w:style>
  <w:style w:type="paragraph" w:styleId="TableofFigures">
    <w:name w:val="table of figures"/>
    <w:basedOn w:val="Normal"/>
    <w:next w:val="Normal"/>
    <w:semiHidden/>
    <w:rsid w:val="004B5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E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5E6E"/>
    <w:rPr>
      <w:rFonts w:ascii="Wingdings" w:hAnsi="Wingdings"/>
    </w:rPr>
  </w:style>
  <w:style w:type="paragraph" w:customStyle="1" w:styleId="TableHeading">
    <w:name w:val="Table Heading"/>
    <w:basedOn w:val="HeadingBase"/>
    <w:rsid w:val="004B5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E6E"/>
    <w:rPr>
      <w:color w:val="0033CC"/>
      <w:u w:val="none"/>
    </w:rPr>
  </w:style>
  <w:style w:type="paragraph" w:customStyle="1" w:styleId="BodyTextRight">
    <w:name w:val="Body Text Right"/>
    <w:basedOn w:val="BodyText"/>
    <w:rsid w:val="004B5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E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E6E"/>
    <w:rPr>
      <w:sz w:val="32"/>
    </w:rPr>
  </w:style>
  <w:style w:type="paragraph" w:customStyle="1" w:styleId="HeadingProcedure">
    <w:name w:val="Heading Procedure"/>
    <w:basedOn w:val="HeadingBase"/>
    <w:next w:val="Normal"/>
    <w:rsid w:val="004B5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E6E"/>
    <w:pPr>
      <w:spacing w:before="60" w:after="60"/>
    </w:pPr>
  </w:style>
  <w:style w:type="paragraph" w:styleId="ListContinue">
    <w:name w:val="List Continue"/>
    <w:basedOn w:val="List"/>
    <w:rsid w:val="004B5E6E"/>
    <w:pPr>
      <w:ind w:firstLine="0"/>
    </w:pPr>
  </w:style>
  <w:style w:type="paragraph" w:customStyle="1" w:styleId="ListNote">
    <w:name w:val="List Note"/>
    <w:basedOn w:val="List"/>
    <w:rsid w:val="004B5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E6E"/>
    <w:rPr>
      <w:rFonts w:ascii="Courier New" w:hAnsi="Courier New"/>
    </w:rPr>
  </w:style>
  <w:style w:type="paragraph" w:customStyle="1" w:styleId="NoteBullet">
    <w:name w:val="Note Bullet"/>
    <w:basedOn w:val="Note"/>
    <w:rsid w:val="004B5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E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5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E6E"/>
    <w:rPr>
      <w:b/>
      <w:smallCaps/>
    </w:rPr>
  </w:style>
  <w:style w:type="paragraph" w:customStyle="1" w:styleId="TableListNumber">
    <w:name w:val="Table List Number"/>
    <w:basedOn w:val="ListNumber"/>
    <w:rsid w:val="004B5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E6E"/>
    <w:pPr>
      <w:numPr>
        <w:numId w:val="7"/>
      </w:numPr>
    </w:pPr>
  </w:style>
  <w:style w:type="paragraph" w:customStyle="1" w:styleId="ListAlpha2">
    <w:name w:val="List Alpha 2"/>
    <w:basedOn w:val="List2"/>
    <w:rsid w:val="004B5E6E"/>
    <w:pPr>
      <w:numPr>
        <w:numId w:val="6"/>
      </w:numPr>
    </w:pPr>
  </w:style>
  <w:style w:type="paragraph" w:styleId="List2">
    <w:name w:val="List 2"/>
    <w:basedOn w:val="BodyText"/>
    <w:rsid w:val="004B5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E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E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5E6E"/>
    <w:pPr>
      <w:numPr>
        <w:numId w:val="2"/>
      </w:numPr>
    </w:pPr>
  </w:style>
  <w:style w:type="paragraph" w:styleId="ListContinue2">
    <w:name w:val="List Continue 2"/>
    <w:basedOn w:val="List2"/>
    <w:rsid w:val="004B5E6E"/>
    <w:pPr>
      <w:ind w:firstLine="0"/>
    </w:pPr>
  </w:style>
  <w:style w:type="paragraph" w:styleId="ListContinue3">
    <w:name w:val="List Continue 3"/>
    <w:basedOn w:val="List3"/>
    <w:rsid w:val="004B5E6E"/>
    <w:pPr>
      <w:ind w:left="1021" w:firstLine="0"/>
    </w:pPr>
  </w:style>
  <w:style w:type="paragraph" w:styleId="ListContinue4">
    <w:name w:val="List Continue 4"/>
    <w:basedOn w:val="List4"/>
    <w:rsid w:val="004B5E6E"/>
    <w:pPr>
      <w:ind w:firstLine="0"/>
    </w:pPr>
  </w:style>
  <w:style w:type="paragraph" w:styleId="ListContinue5">
    <w:name w:val="List Continue 5"/>
    <w:basedOn w:val="List5"/>
    <w:rsid w:val="004B5E6E"/>
    <w:pPr>
      <w:ind w:firstLine="0"/>
    </w:pPr>
  </w:style>
  <w:style w:type="paragraph" w:styleId="ListNumber3">
    <w:name w:val="List Number 3"/>
    <w:basedOn w:val="List3"/>
    <w:rsid w:val="004B5E6E"/>
    <w:pPr>
      <w:numPr>
        <w:numId w:val="3"/>
      </w:numPr>
    </w:pPr>
  </w:style>
  <w:style w:type="paragraph" w:styleId="ListNumber4">
    <w:name w:val="List Number 4"/>
    <w:basedOn w:val="List4"/>
    <w:rsid w:val="004B5E6E"/>
    <w:pPr>
      <w:numPr>
        <w:numId w:val="4"/>
      </w:numPr>
    </w:pPr>
  </w:style>
  <w:style w:type="paragraph" w:styleId="ListNumber5">
    <w:name w:val="List Number 5"/>
    <w:basedOn w:val="List5"/>
    <w:rsid w:val="004B5E6E"/>
    <w:pPr>
      <w:numPr>
        <w:numId w:val="5"/>
      </w:numPr>
    </w:pPr>
  </w:style>
  <w:style w:type="paragraph" w:styleId="BlockText">
    <w:name w:val="Block Text"/>
    <w:basedOn w:val="Normal"/>
    <w:rsid w:val="004B5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E6E"/>
    <w:rPr>
      <w:sz w:val="16"/>
      <w:vertAlign w:val="superscript"/>
    </w:rPr>
  </w:style>
  <w:style w:type="character" w:customStyle="1" w:styleId="Symbols">
    <w:name w:val="Symbols"/>
    <w:basedOn w:val="DefaultParagraphFont"/>
    <w:rsid w:val="004B5E6E"/>
    <w:rPr>
      <w:rFonts w:ascii="Symbol" w:hAnsi="Symbol"/>
    </w:rPr>
  </w:style>
  <w:style w:type="character" w:customStyle="1" w:styleId="MenuOptions">
    <w:name w:val="Menu Options"/>
    <w:basedOn w:val="DefaultParagraphFont"/>
    <w:rsid w:val="004B5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E6E"/>
    <w:rPr>
      <w:b/>
    </w:rPr>
  </w:style>
  <w:style w:type="character" w:customStyle="1" w:styleId="Underlined">
    <w:name w:val="Underlined"/>
    <w:basedOn w:val="DefaultParagraphFont"/>
    <w:rsid w:val="004B5E6E"/>
    <w:rPr>
      <w:u w:val="single"/>
    </w:rPr>
  </w:style>
  <w:style w:type="paragraph" w:customStyle="1" w:styleId="TableBodyTextRight">
    <w:name w:val="Table Body Text Right"/>
    <w:basedOn w:val="TableBodyText"/>
    <w:rsid w:val="004B5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E6E"/>
    <w:rPr>
      <w:sz w:val="18"/>
    </w:rPr>
  </w:style>
  <w:style w:type="paragraph" w:customStyle="1" w:styleId="BodySmallRight">
    <w:name w:val="Body Small Right"/>
    <w:basedOn w:val="BodyTextRight"/>
    <w:rsid w:val="004B5E6E"/>
    <w:rPr>
      <w:sz w:val="18"/>
      <w:szCs w:val="18"/>
    </w:rPr>
  </w:style>
  <w:style w:type="paragraph" w:customStyle="1" w:styleId="MarginEdition">
    <w:name w:val="Margin Edition"/>
    <w:basedOn w:val="MarginNote"/>
    <w:rsid w:val="004B5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E6E"/>
    <w:rPr>
      <w:sz w:val="2"/>
      <w:szCs w:val="2"/>
    </w:rPr>
  </w:style>
  <w:style w:type="character" w:customStyle="1" w:styleId="Small">
    <w:name w:val="Small"/>
    <w:basedOn w:val="DefaultParagraphFont"/>
    <w:rsid w:val="004B5E6E"/>
    <w:rPr>
      <w:sz w:val="16"/>
    </w:rPr>
  </w:style>
  <w:style w:type="paragraph" w:customStyle="1" w:styleId="WideTable">
    <w:name w:val="Wide Table"/>
    <w:basedOn w:val="Normal"/>
    <w:rsid w:val="004B5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E6E"/>
  </w:style>
  <w:style w:type="paragraph" w:styleId="Quote">
    <w:name w:val="Quote"/>
    <w:basedOn w:val="Heading1"/>
    <w:link w:val="QuoteChar"/>
    <w:qFormat/>
    <w:rsid w:val="004B5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E6E"/>
    <w:pPr>
      <w:pageBreakBefore/>
    </w:pPr>
  </w:style>
  <w:style w:type="paragraph" w:customStyle="1" w:styleId="Border">
    <w:name w:val="Border"/>
    <w:basedOn w:val="Normal"/>
    <w:qFormat/>
    <w:rsid w:val="004B5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E6E"/>
    <w:rPr>
      <w:u w:val="single"/>
    </w:rPr>
  </w:style>
  <w:style w:type="character" w:customStyle="1" w:styleId="BoldandItalics">
    <w:name w:val="Bold and Italics"/>
    <w:qFormat/>
    <w:rsid w:val="004B5E6E"/>
    <w:rPr>
      <w:b/>
      <w:i/>
      <w:u w:val="none"/>
    </w:rPr>
  </w:style>
  <w:style w:type="paragraph" w:styleId="BalloonText">
    <w:name w:val="Balloon Text"/>
    <w:basedOn w:val="Normal"/>
    <w:link w:val="BalloonTextChar"/>
    <w:rsid w:val="004B5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E6E"/>
    <w:pPr>
      <w:spacing w:before="0" w:after="0"/>
    </w:pPr>
  </w:style>
  <w:style w:type="paragraph" w:customStyle="1" w:styleId="BodyTextBold">
    <w:name w:val="Body Text Bold"/>
    <w:basedOn w:val="BodyText"/>
    <w:qFormat/>
    <w:rsid w:val="004B5E6E"/>
    <w:rPr>
      <w:b/>
    </w:rPr>
  </w:style>
  <w:style w:type="character" w:styleId="Hyperlink">
    <w:name w:val="Hyperlink"/>
    <w:basedOn w:val="DefaultParagraphFont"/>
    <w:uiPriority w:val="99"/>
    <w:unhideWhenUsed/>
    <w:rsid w:val="00C76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2759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DEFRNG014 Monitor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