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208E" w:rsidP="00BE20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DEFPHL014 Investigate and control outbreak of disease</w:t>
      </w:r>
      <w:r>
        <w:fldChar w:fldCharType="end"/>
      </w:r>
    </w:p>
    <w:p w:rsidR="00BE208E" w:rsidP="00BE208E">
      <w:pPr>
        <w:pStyle w:val="Version"/>
        <w:sectPr w:rsidSect="00EE28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28C1" w:rsidP="00EE28C1">
      <w:pPr>
        <w:pStyle w:val="SuperHeading"/>
      </w:pPr>
      <w:r w:rsidRPr="00EE28C1">
        <w:t>DEFPHL014 Investigate and control outbreak of disease</w:t>
      </w:r>
    </w:p>
    <w:p w:rsidR="00000000" w:rsidRPr="00EE28C1" w:rsidP="00EE28C1">
      <w:pPr>
        <w:pStyle w:val="Heading1"/>
      </w:pPr>
      <w:bookmarkStart w:id="1" w:name="O_958762"/>
      <w:bookmarkEnd w:id="1"/>
      <w:r w:rsidRPr="00EE28C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 w:rsidP="00EE28C1">
            <w:pPr>
              <w:pStyle w:val="BodyText"/>
            </w:pPr>
            <w:r w:rsidRPr="00EE28C1">
              <w:t>Release 1. This is the first release of this unit of competency in the DEF Defence Training Package.</w:t>
            </w:r>
          </w:p>
        </w:tc>
      </w:tr>
    </w:tbl>
    <w:p w:rsidR="00000000" w:rsidRPr="00EE28C1" w:rsidP="00EE28C1">
      <w:pPr>
        <w:pStyle w:val="NoPaddingFontSize1"/>
      </w:pPr>
    </w:p>
    <w:p w:rsidR="00000000" w:rsidRPr="00EE28C1" w:rsidP="00EE28C1">
      <w:pPr>
        <w:pStyle w:val="AllowPageBreak"/>
      </w:pPr>
    </w:p>
    <w:p w:rsidR="00000000" w:rsidRPr="00EE28C1" w:rsidP="00EE28C1">
      <w:pPr>
        <w:pStyle w:val="Heading1"/>
      </w:pPr>
      <w:bookmarkStart w:id="2" w:name="O_958763"/>
      <w:bookmarkEnd w:id="2"/>
      <w:r w:rsidRPr="00EE28C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 w:rsidP="00EE28C1">
            <w:pPr>
              <w:pStyle w:val="BodyText"/>
            </w:pPr>
            <w:r w:rsidRPr="00EE28C1">
              <w:t>This unit specifies the skills and knowledge required to investigate and control diseas</w:t>
            </w:r>
            <w:r w:rsidRPr="00EE28C1">
              <w:t>e outbreak as a member of the Australian Defence Force (ADF).</w:t>
            </w:r>
          </w:p>
          <w:p w:rsidR="00000000" w:rsidRPr="00EE28C1" w:rsidP="00EE28C1">
            <w:pPr>
              <w:pStyle w:val="BodyText"/>
            </w:pPr>
            <w:r w:rsidRPr="00EE28C1">
              <w:t xml:space="preserve">It includes gathering data and analysing that information to draw conclusions to classify the disease. It also includes identifying and determining control measures to prevent the re-occurrence </w:t>
            </w:r>
            <w:r w:rsidRPr="00EE28C1">
              <w:t>of disease outbreak.</w:t>
            </w:r>
          </w:p>
          <w:p w:rsidR="00000000" w:rsidRPr="00EE28C1" w:rsidP="00EE28C1">
            <w:pPr>
              <w:pStyle w:val="BodyText"/>
            </w:pPr>
            <w:r w:rsidRPr="00EE28C1">
              <w:t>This unit applies to personnel working in ADF preventive health. This function may be performed in collaboration with other health service personnel and may be initiated and led by a medical officer.</w:t>
            </w:r>
          </w:p>
          <w:p w:rsidR="00000000" w:rsidRPr="00EE28C1" w:rsidP="00EE28C1">
            <w:pPr>
              <w:pStyle w:val="BodyText"/>
            </w:pPr>
            <w:r w:rsidRPr="00EE28C1">
              <w:t xml:space="preserve">The skills and knowledge described </w:t>
            </w:r>
            <w:r w:rsidRPr="00EE28C1">
              <w:t>in this unit must be applied within the legislative, regulatory and policy environment in which they are carried out. Organisational policies and procedures must be consulted and adhered to.</w:t>
            </w:r>
          </w:p>
          <w:p w:rsidR="00000000" w:rsidRPr="00EE28C1" w:rsidP="00EE28C1">
            <w:pPr>
              <w:pStyle w:val="BodyText"/>
            </w:pPr>
            <w:r w:rsidRPr="00EE28C1">
              <w:t>Persons undertaking this unit work independently and perform comp</w:t>
            </w:r>
            <w:r w:rsidRPr="00EE28C1">
              <w:t>lex tasks in a range of familiar contexts.</w:t>
            </w:r>
          </w:p>
          <w:p w:rsidR="00000000" w:rsidRPr="00EE28C1" w:rsidP="00EE28C1">
            <w:pPr>
              <w:pStyle w:val="BodyText"/>
            </w:pPr>
            <w:r w:rsidRPr="00EE28C1">
              <w:t>No licensing, legislative or certification requirements apply to this unit at the time of publication.</w:t>
            </w:r>
          </w:p>
        </w:tc>
      </w:tr>
    </w:tbl>
    <w:p w:rsidR="00000000" w:rsidRPr="00EE28C1" w:rsidP="00EE28C1">
      <w:pPr>
        <w:pStyle w:val="NoPaddingFontSize1"/>
      </w:pPr>
    </w:p>
    <w:p w:rsidR="00000000" w:rsidRPr="00EE28C1" w:rsidP="00EE28C1">
      <w:pPr>
        <w:pStyle w:val="AllowPageBreak"/>
      </w:pPr>
    </w:p>
    <w:p w:rsidR="00000000" w:rsidRPr="00EE28C1" w:rsidP="00EE28C1">
      <w:pPr>
        <w:pStyle w:val="Heading1"/>
      </w:pPr>
      <w:bookmarkStart w:id="3" w:name="O_958764"/>
      <w:bookmarkEnd w:id="3"/>
      <w:r w:rsidRPr="00EE28C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 w:rsidP="00EE28C1">
            <w:pPr>
              <w:pStyle w:val="BodyText"/>
            </w:pPr>
            <w:r w:rsidRPr="00EE28C1">
              <w:t>Not applicable</w:t>
            </w:r>
          </w:p>
        </w:tc>
      </w:tr>
    </w:tbl>
    <w:p w:rsidR="00000000" w:rsidRPr="00EE28C1" w:rsidP="00EE28C1">
      <w:pPr>
        <w:pStyle w:val="NoPaddingFontSize1"/>
      </w:pPr>
    </w:p>
    <w:p w:rsidR="00000000" w:rsidRPr="00EE28C1" w:rsidP="00EE28C1">
      <w:pPr>
        <w:pStyle w:val="AllowPageBreak"/>
      </w:pPr>
    </w:p>
    <w:p w:rsidR="00000000" w:rsidRPr="00EE28C1" w:rsidP="00EE28C1">
      <w:pPr>
        <w:pStyle w:val="Heading1"/>
      </w:pPr>
      <w:bookmarkStart w:id="4" w:name="O_958765"/>
      <w:bookmarkEnd w:id="4"/>
      <w:r w:rsidRPr="00EE28C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 w:rsidP="00EE28C1">
            <w:pPr>
              <w:pStyle w:val="BodyText"/>
            </w:pPr>
            <w:r w:rsidRPr="00EE28C1">
              <w:t>Preventive Health</w:t>
            </w:r>
          </w:p>
        </w:tc>
      </w:tr>
    </w:tbl>
    <w:p w:rsidR="00000000" w:rsidRPr="00EE28C1" w:rsidP="00EE28C1">
      <w:pPr>
        <w:pStyle w:val="NoPaddingFontSize1"/>
      </w:pPr>
    </w:p>
    <w:p w:rsidR="00000000" w:rsidRPr="00EE28C1" w:rsidP="00EE28C1">
      <w:pPr>
        <w:pStyle w:val="AllowPageBreak"/>
      </w:pPr>
    </w:p>
    <w:p w:rsidR="00000000" w:rsidRPr="00EE28C1" w:rsidP="00EE28C1">
      <w:pPr>
        <w:pStyle w:val="Heading1"/>
      </w:pPr>
      <w:bookmarkStart w:id="5" w:name="O_958766"/>
      <w:bookmarkEnd w:id="5"/>
      <w:r w:rsidRPr="00EE28C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 w:rsidP="00EE28C1">
            <w:pPr>
              <w:pStyle w:val="BodyText"/>
            </w:pPr>
            <w:r w:rsidRPr="00EE28C1">
              <w:t>Not applicable.</w:t>
            </w:r>
          </w:p>
        </w:tc>
      </w:tr>
    </w:tbl>
    <w:p w:rsidR="00000000" w:rsidRPr="00EE28C1" w:rsidP="00EE28C1">
      <w:pPr>
        <w:pStyle w:val="NoPaddingFontSize1"/>
      </w:pPr>
    </w:p>
    <w:p w:rsidR="00000000" w:rsidRPr="00EE28C1" w:rsidP="00EE28C1">
      <w:pPr>
        <w:pStyle w:val="AllowPageBreak"/>
      </w:pPr>
    </w:p>
    <w:p w:rsidR="00000000" w:rsidRPr="00EE28C1" w:rsidP="00EE28C1">
      <w:pPr>
        <w:pStyle w:val="Heading1"/>
      </w:pPr>
      <w:bookmarkStart w:id="6" w:name="O_958767"/>
      <w:bookmarkEnd w:id="6"/>
      <w:r w:rsidRPr="00EE28C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E2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 w:rsidP="00EE28C1">
            <w:pPr>
              <w:pStyle w:val="BodyText"/>
            </w:pPr>
            <w:r w:rsidRPr="00EE28C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rPr>
                <w:rStyle w:val="SpecialBold"/>
              </w:rPr>
              <w:t>PERFORMANCE CRITERIA</w:t>
            </w:r>
          </w:p>
        </w:tc>
      </w:tr>
      <w:tr w:rsidTr="00EE2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t>Performance criteria describe the performance needed to demonstrate achievement of the element.</w:t>
            </w:r>
          </w:p>
        </w:tc>
      </w:tr>
      <w:tr w:rsidTr="00EE2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 w:rsidP="00EE28C1">
            <w:pPr>
              <w:pStyle w:val="BodyText"/>
            </w:pPr>
            <w:r w:rsidRPr="00EE28C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 w:rsidP="00EE28C1">
            <w:pPr>
              <w:pStyle w:val="BodyText"/>
            </w:pPr>
            <w:r w:rsidRPr="00EE28C1">
              <w:rPr>
                <w:rStyle w:val="SpecialBold"/>
              </w:rPr>
              <w:t>Gather data in support of the investigation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t xml:space="preserve">Gain consent for investigation from relevant personnel within affected organisation and inform them of the </w:t>
            </w:r>
            <w:r w:rsidRPr="00EE28C1">
              <w:t>investigation process</w:t>
            </w:r>
          </w:p>
        </w:tc>
      </w:tr>
      <w:tr w:rsidTr="00EE2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t>Determine and address factors affecting scope, risks and complexity of investigation to facilitate commencement of investigation activities</w:t>
            </w:r>
          </w:p>
        </w:tc>
      </w:tr>
      <w:tr w:rsidTr="00EE2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t>Task and guide personnel assisting with the investigation to enable them to assist independently</w:t>
            </w:r>
          </w:p>
        </w:tc>
      </w:tr>
      <w:tr w:rsidTr="00EE2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t>Analyse data gathered and confirm disease outbreak by comparison of reported cases with the usual incidence of cases experienced</w:t>
            </w:r>
          </w:p>
        </w:tc>
      </w:tr>
      <w:tr w:rsidTr="00EE2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t>Obtain a presump</w:t>
            </w:r>
            <w:r w:rsidRPr="00EE28C1">
              <w:t>tive diagnosis from medical officer to focus investigation effort where feasible</w:t>
            </w:r>
          </w:p>
        </w:tc>
      </w:tr>
      <w:tr w:rsidTr="00EE2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t>Instigate initial control measures to limit the spread of disease and to provide early treatment to those displaying symptoms of disease, in accordance with operational</w:t>
            </w:r>
            <w:r w:rsidRPr="00EE28C1">
              <w:t xml:space="preserve"> procedures</w:t>
            </w:r>
          </w:p>
        </w:tc>
      </w:tr>
      <w:tr w:rsidTr="00EE2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t>Conduct interviews with affected and non-affected personnel to identify common factors in disease outbreak including potential disease source/s</w:t>
            </w:r>
          </w:p>
        </w:tc>
      </w:tr>
      <w:tr w:rsidTr="00EE2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t>Conduct on-site inspections of areas found to be common to those affected by the disease to gather site information to assist with the identification of disease source/s, in accordance with organisational procedures</w:t>
            </w:r>
          </w:p>
        </w:tc>
      </w:tr>
      <w:tr w:rsidTr="00EE2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t>Analyse and assess risk from site</w:t>
            </w:r>
            <w:r w:rsidRPr="00EE28C1">
              <w:t xml:space="preserve"> inspection and make appropriate recommendations to assist investigation</w:t>
            </w:r>
          </w:p>
        </w:tc>
      </w:tr>
      <w:tr w:rsidTr="00EE2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 w:rsidP="00EE28C1">
            <w:pPr>
              <w:pStyle w:val="BodyText"/>
            </w:pPr>
            <w:r w:rsidRPr="00EE28C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 w:rsidP="00EE28C1">
            <w:pPr>
              <w:pStyle w:val="BodyText"/>
            </w:pPr>
            <w:r w:rsidRPr="00EE28C1">
              <w:rPr>
                <w:rStyle w:val="SpecialBold"/>
              </w:rPr>
              <w:t>Analyse data to classify the path of disease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t>Collate data from relevant sources to enable comparison and analysis in accordance with organisational procedures</w:t>
            </w:r>
          </w:p>
        </w:tc>
      </w:tr>
      <w:tr w:rsidTr="00EE2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t>Assess dis</w:t>
            </w:r>
            <w:r w:rsidRPr="00EE28C1">
              <w:t>ease characteristics and risk factors to determine disease route and likely targets</w:t>
            </w:r>
          </w:p>
        </w:tc>
      </w:tr>
      <w:tr w:rsidTr="00EE2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t>Determine disease attack rate to establish cumulative incidence rate of disease over the period of the outbreak</w:t>
            </w:r>
          </w:p>
        </w:tc>
      </w:tr>
      <w:tr w:rsidTr="00EE2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t xml:space="preserve">Develop an endemic curve diagram to show the spread </w:t>
            </w:r>
            <w:r w:rsidRPr="00EE28C1">
              <w:t>of infection over time and to identify the likely incidents of exposure to the disease</w:t>
            </w:r>
          </w:p>
        </w:tc>
      </w:tr>
      <w:tr w:rsidTr="00EE2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t>Identify risk factors using infection attack rate data and likely incidence of exposure</w:t>
            </w:r>
          </w:p>
        </w:tc>
      </w:tr>
      <w:tr w:rsidTr="00EE2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t>Gather addition</w:t>
            </w:r>
            <w:r w:rsidRPr="00EE28C1">
              <w:t>al data based on identified risk factors and integrated into analysis</w:t>
            </w:r>
          </w:p>
        </w:tc>
      </w:tr>
      <w:tr w:rsidTr="00EE2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t>Classify the disease source, route and target by comparing information gathered during on-site inspection with analysis findings</w:t>
            </w:r>
          </w:p>
        </w:tc>
      </w:tr>
      <w:tr w:rsidTr="00EE2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t>Document and communicate the findings from the analysis to relevant personnel to enable appropriate notification to occur and to inform the development of disease control measures</w:t>
            </w:r>
          </w:p>
        </w:tc>
      </w:tr>
      <w:tr w:rsidTr="00EE2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 w:rsidP="00EE28C1">
            <w:pPr>
              <w:pStyle w:val="BodyText"/>
            </w:pPr>
            <w:r w:rsidRPr="00EE28C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 w:rsidP="00EE28C1">
            <w:pPr>
              <w:pStyle w:val="BodyText"/>
            </w:pPr>
            <w:r w:rsidRPr="00EE28C1">
              <w:rPr>
                <w:rStyle w:val="SpecialBold"/>
              </w:rPr>
              <w:t>Determine and implement disease control measures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t>Review compliance fa</w:t>
            </w:r>
            <w:r w:rsidRPr="00EE28C1">
              <w:t>ctors to identify systemic issues that may have contributed to the disease and which require corrective action</w:t>
            </w:r>
          </w:p>
        </w:tc>
      </w:tr>
      <w:tr w:rsidTr="00EE2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t>Determine clean up procedures to allow facilities and/or environment connected with disease source to return to normal activity as soon as</w:t>
            </w:r>
            <w:r w:rsidRPr="00EE28C1">
              <w:t xml:space="preserve"> possible</w:t>
            </w:r>
          </w:p>
        </w:tc>
      </w:tr>
      <w:tr w:rsidTr="00EE2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t>Determine disease control measures to provide immediate and long term control of disease in accordance with organisational procedures</w:t>
            </w:r>
          </w:p>
        </w:tc>
      </w:tr>
      <w:tr w:rsidTr="00EE2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t>Determine monitoring procedures to confirm compliance with initial clean up and disease control measures</w:t>
            </w:r>
          </w:p>
        </w:tc>
      </w:tr>
      <w:tr w:rsidTr="00EE2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t>Compile investigation findings and disease control measures into a disease outbreak report and issue to relevant personnel for review and implem</w:t>
            </w:r>
            <w:r w:rsidRPr="00EE28C1">
              <w:t>entation</w:t>
            </w:r>
          </w:p>
        </w:tc>
      </w:tr>
      <w:tr w:rsidTr="00EE2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t>Debrief stakeholders on disease outbreak to clarify investigation outcomes and provide lessons learned, in accordance with organisational procedures</w:t>
            </w:r>
          </w:p>
        </w:tc>
      </w:tr>
      <w:tr w:rsidTr="00EE2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8C1">
            <w:pPr>
              <w:pStyle w:val="BodyText"/>
              <w:rPr>
                <w:lang w:val="en-NZ"/>
              </w:rPr>
            </w:pPr>
            <w:r w:rsidRPr="00EE28C1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 w:rsidP="00EE28C1">
            <w:pPr>
              <w:pStyle w:val="BodyText"/>
            </w:pPr>
            <w:r w:rsidRPr="00EE28C1">
              <w:t>Integrate disease control measures into wider environmental health support plan to a</w:t>
            </w:r>
            <w:r w:rsidRPr="00EE28C1">
              <w:t>pply lessons learnt for other operating areas and groups</w:t>
            </w:r>
          </w:p>
        </w:tc>
      </w:tr>
    </w:tbl>
    <w:p w:rsidR="00000000" w:rsidRPr="00EE28C1" w:rsidP="00EE28C1">
      <w:pPr>
        <w:pStyle w:val="NoPaddingFontSize1"/>
      </w:pPr>
    </w:p>
    <w:p w:rsidR="00000000" w:rsidRPr="00EE28C1" w:rsidP="00EE28C1">
      <w:pPr>
        <w:pStyle w:val="AllowPageBreak"/>
      </w:pPr>
    </w:p>
    <w:p w:rsidR="00000000" w:rsidRPr="00EE28C1" w:rsidP="00EE28C1">
      <w:pPr>
        <w:pStyle w:val="Heading1"/>
      </w:pPr>
      <w:bookmarkStart w:id="7" w:name="O_958768"/>
      <w:bookmarkEnd w:id="7"/>
      <w:r w:rsidRPr="00EE28C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 w:rsidP="00EE28C1">
            <w:pPr>
              <w:pStyle w:val="BodyText"/>
            </w:pPr>
            <w:r w:rsidRPr="00EE28C1">
              <w:t>Foundation skills essential to performance are explicit in the performance criteria of this unit of competency.</w:t>
            </w:r>
          </w:p>
        </w:tc>
      </w:tr>
    </w:tbl>
    <w:p w:rsidR="00000000" w:rsidRPr="00EE28C1" w:rsidP="00EE28C1">
      <w:pPr>
        <w:pStyle w:val="NoPaddingFontSize1"/>
      </w:pPr>
    </w:p>
    <w:p w:rsidR="00000000" w:rsidRPr="00EE28C1" w:rsidP="00EE28C1">
      <w:pPr>
        <w:pStyle w:val="AllowPageBreak"/>
      </w:pPr>
    </w:p>
    <w:p w:rsidR="00000000" w:rsidRPr="00EE28C1" w:rsidP="00EE28C1">
      <w:pPr>
        <w:pStyle w:val="Heading1"/>
      </w:pPr>
      <w:bookmarkStart w:id="8" w:name="O_958769"/>
      <w:bookmarkEnd w:id="8"/>
      <w:r w:rsidRPr="00EE28C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 w:rsidP="00EE28C1">
            <w:pPr>
              <w:pStyle w:val="BodyText"/>
            </w:pPr>
            <w:r w:rsidRPr="00EE28C1">
              <w:t>Range is restricted to essential operating conditions and any other variables essential to the work environment.</w:t>
            </w:r>
          </w:p>
          <w:p w:rsidR="00000000" w:rsidRPr="00EE28C1" w:rsidP="00EE28C1">
            <w:pPr>
              <w:pStyle w:val="BodyText"/>
            </w:pPr>
            <w:r w:rsidRPr="00EE28C1">
              <w:t>Non-essential conditions may be found in the Companion Volume Implementation Guide.</w:t>
            </w:r>
          </w:p>
        </w:tc>
      </w:tr>
    </w:tbl>
    <w:p w:rsidR="00000000" w:rsidRPr="00EE28C1" w:rsidP="00EE28C1">
      <w:pPr>
        <w:pStyle w:val="NoPaddingFontSize1"/>
      </w:pPr>
    </w:p>
    <w:p w:rsidR="00000000" w:rsidRPr="00EE28C1" w:rsidP="00EE28C1">
      <w:pPr>
        <w:pStyle w:val="AllowPageBreak"/>
      </w:pPr>
    </w:p>
    <w:p w:rsidR="00000000" w:rsidRPr="00EE28C1" w:rsidP="00EE28C1">
      <w:pPr>
        <w:pStyle w:val="Heading1"/>
      </w:pPr>
      <w:bookmarkStart w:id="9" w:name="O_958770"/>
      <w:bookmarkEnd w:id="9"/>
      <w:r w:rsidRPr="00EE28C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8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8C1" w:rsidP="00EE28C1">
            <w:pPr>
              <w:pStyle w:val="BodyText"/>
            </w:pPr>
            <w:r w:rsidRPr="00EE28C1">
              <w:t>This unit repla</w:t>
            </w:r>
            <w:r w:rsidRPr="00EE28C1">
              <w:t>ces and is equivalent to DEFPH014A Investigate and control outbreak of disease.</w:t>
            </w:r>
          </w:p>
        </w:tc>
      </w:tr>
    </w:tbl>
    <w:p w:rsidR="00000000" w:rsidRPr="00EE28C1" w:rsidP="00EE28C1">
      <w:pPr>
        <w:pStyle w:val="NoPaddingFontSize1"/>
      </w:pPr>
    </w:p>
    <w:p w:rsidR="00000000" w:rsidRPr="00EE28C1" w:rsidP="00EE28C1">
      <w:pPr>
        <w:pStyle w:val="AllowPageBreak"/>
      </w:pPr>
    </w:p>
    <w:p w:rsidR="00000000" w:rsidRPr="00EE28C1" w:rsidP="00EE28C1">
      <w:pPr>
        <w:pStyle w:val="Heading1"/>
      </w:pPr>
      <w:bookmarkStart w:id="10" w:name="O_958777"/>
      <w:bookmarkEnd w:id="10"/>
      <w:r w:rsidRPr="00EE28C1">
        <w:t>Links</w:t>
      </w:r>
    </w:p>
    <w:p w:rsidR="00000000" w:rsidRPr="00EE28C1" w:rsidP="00BE208E">
      <w:pPr>
        <w:pStyle w:val="BodyText"/>
      </w:pPr>
      <w:r w:rsidRPr="00EE28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6791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E28C1" w:rsidP="00EE28C1"/>
    <w:sectPr w:rsidSect="00EE28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8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8C1" w:rsidRPr="00BE208E" w:rsidP="00BE20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8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08E" w:rsidP="00EE28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208E" w:rsidP="00EE28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E208E" w:rsidP="00EE28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8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0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28C1" w:rsidRPr="00BE208E" w:rsidP="00BE20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8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08E" w:rsidRPr="002D2AF8" w:rsidP="00EE28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DEFPHL014 Investigate and control outbreak of disease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BE208E" w:rsidP="00EE28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8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28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28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28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28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28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28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28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28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28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28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28C1"/>
  </w:style>
  <w:style w:type="character" w:customStyle="1" w:styleId="Heading1Char">
    <w:name w:val="Heading 1 Char"/>
    <w:basedOn w:val="DefaultParagraphFont"/>
    <w:link w:val="Heading1"/>
    <w:rsid w:val="00EE28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28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28C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E28C1"/>
    <w:rPr>
      <w:b/>
      <w:spacing w:val="0"/>
    </w:rPr>
  </w:style>
  <w:style w:type="paragraph" w:customStyle="1" w:styleId="SuperHeading">
    <w:name w:val="SuperHeading"/>
    <w:basedOn w:val="Normal"/>
    <w:rsid w:val="00EE28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28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E28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28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28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28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28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28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28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28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28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28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28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28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28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28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28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28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28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28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28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28C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E28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28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28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28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28C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28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28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28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28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28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28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28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28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28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28C1"/>
    <w:rPr>
      <w:i/>
    </w:rPr>
  </w:style>
  <w:style w:type="paragraph" w:styleId="Caption">
    <w:name w:val="caption"/>
    <w:basedOn w:val="BodyText"/>
    <w:next w:val="Normal"/>
    <w:qFormat/>
    <w:rsid w:val="00EE28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28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28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28C1"/>
  </w:style>
  <w:style w:type="paragraph" w:styleId="TableofFigures">
    <w:name w:val="table of figures"/>
    <w:basedOn w:val="Normal"/>
    <w:next w:val="Normal"/>
    <w:semiHidden/>
    <w:rsid w:val="00EE28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28C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E28C1"/>
    <w:rPr>
      <w:rFonts w:ascii="Wingdings" w:hAnsi="Wingdings"/>
    </w:rPr>
  </w:style>
  <w:style w:type="paragraph" w:customStyle="1" w:styleId="TableHeading">
    <w:name w:val="Table Heading"/>
    <w:basedOn w:val="HeadingBase"/>
    <w:rsid w:val="00EE28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28C1"/>
    <w:rPr>
      <w:color w:val="0033CC"/>
      <w:u w:val="none"/>
    </w:rPr>
  </w:style>
  <w:style w:type="paragraph" w:customStyle="1" w:styleId="BodyTextRight">
    <w:name w:val="Body Text Right"/>
    <w:basedOn w:val="BodyText"/>
    <w:rsid w:val="00EE28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28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28C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28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28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28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28C1"/>
    <w:rPr>
      <w:sz w:val="32"/>
    </w:rPr>
  </w:style>
  <w:style w:type="paragraph" w:customStyle="1" w:styleId="HeadingProcedure">
    <w:name w:val="Heading Procedure"/>
    <w:basedOn w:val="HeadingBase"/>
    <w:next w:val="Normal"/>
    <w:rsid w:val="00EE28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28C1"/>
    <w:pPr>
      <w:spacing w:before="60" w:after="60"/>
    </w:pPr>
  </w:style>
  <w:style w:type="paragraph" w:styleId="ListContinue">
    <w:name w:val="List Continue"/>
    <w:basedOn w:val="List"/>
    <w:rsid w:val="00EE28C1"/>
    <w:pPr>
      <w:ind w:firstLine="0"/>
    </w:pPr>
  </w:style>
  <w:style w:type="paragraph" w:customStyle="1" w:styleId="ListNote">
    <w:name w:val="List Note"/>
    <w:basedOn w:val="List"/>
    <w:rsid w:val="00EE28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28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28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28C1"/>
    <w:rPr>
      <w:rFonts w:ascii="Courier New" w:hAnsi="Courier New"/>
    </w:rPr>
  </w:style>
  <w:style w:type="paragraph" w:customStyle="1" w:styleId="NoteBullet">
    <w:name w:val="Note Bullet"/>
    <w:basedOn w:val="Note"/>
    <w:rsid w:val="00EE28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28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28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28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28C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E28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28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28C1"/>
    <w:rPr>
      <w:b/>
      <w:smallCaps/>
    </w:rPr>
  </w:style>
  <w:style w:type="paragraph" w:customStyle="1" w:styleId="TableListNumber">
    <w:name w:val="Table List Number"/>
    <w:basedOn w:val="ListNumber"/>
    <w:rsid w:val="00EE28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28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28C1"/>
    <w:pPr>
      <w:numPr>
        <w:numId w:val="7"/>
      </w:numPr>
    </w:pPr>
  </w:style>
  <w:style w:type="paragraph" w:customStyle="1" w:styleId="ListAlpha2">
    <w:name w:val="List Alpha 2"/>
    <w:basedOn w:val="List2"/>
    <w:rsid w:val="00EE28C1"/>
    <w:pPr>
      <w:numPr>
        <w:numId w:val="6"/>
      </w:numPr>
    </w:pPr>
  </w:style>
  <w:style w:type="paragraph" w:styleId="List2">
    <w:name w:val="List 2"/>
    <w:basedOn w:val="BodyText"/>
    <w:rsid w:val="00EE28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28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28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28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28C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28C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E28C1"/>
    <w:pPr>
      <w:numPr>
        <w:numId w:val="2"/>
      </w:numPr>
    </w:pPr>
  </w:style>
  <w:style w:type="paragraph" w:styleId="ListContinue2">
    <w:name w:val="List Continue 2"/>
    <w:basedOn w:val="List2"/>
    <w:rsid w:val="00EE28C1"/>
    <w:pPr>
      <w:ind w:firstLine="0"/>
    </w:pPr>
  </w:style>
  <w:style w:type="paragraph" w:styleId="ListContinue3">
    <w:name w:val="List Continue 3"/>
    <w:basedOn w:val="List3"/>
    <w:rsid w:val="00EE28C1"/>
    <w:pPr>
      <w:ind w:left="1021" w:firstLine="0"/>
    </w:pPr>
  </w:style>
  <w:style w:type="paragraph" w:styleId="ListContinue4">
    <w:name w:val="List Continue 4"/>
    <w:basedOn w:val="List4"/>
    <w:rsid w:val="00EE28C1"/>
    <w:pPr>
      <w:ind w:firstLine="0"/>
    </w:pPr>
  </w:style>
  <w:style w:type="paragraph" w:styleId="ListContinue5">
    <w:name w:val="List Continue 5"/>
    <w:basedOn w:val="List5"/>
    <w:rsid w:val="00EE28C1"/>
    <w:pPr>
      <w:ind w:firstLine="0"/>
    </w:pPr>
  </w:style>
  <w:style w:type="paragraph" w:styleId="ListNumber3">
    <w:name w:val="List Number 3"/>
    <w:basedOn w:val="List3"/>
    <w:rsid w:val="00EE28C1"/>
    <w:pPr>
      <w:numPr>
        <w:numId w:val="3"/>
      </w:numPr>
    </w:pPr>
  </w:style>
  <w:style w:type="paragraph" w:styleId="ListNumber4">
    <w:name w:val="List Number 4"/>
    <w:basedOn w:val="List4"/>
    <w:rsid w:val="00EE28C1"/>
    <w:pPr>
      <w:numPr>
        <w:numId w:val="4"/>
      </w:numPr>
    </w:pPr>
  </w:style>
  <w:style w:type="paragraph" w:styleId="ListNumber5">
    <w:name w:val="List Number 5"/>
    <w:basedOn w:val="List5"/>
    <w:rsid w:val="00EE28C1"/>
    <w:pPr>
      <w:numPr>
        <w:numId w:val="5"/>
      </w:numPr>
    </w:pPr>
  </w:style>
  <w:style w:type="paragraph" w:styleId="BlockText">
    <w:name w:val="Block Text"/>
    <w:basedOn w:val="Normal"/>
    <w:rsid w:val="00EE28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28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28C1"/>
    <w:rPr>
      <w:sz w:val="16"/>
      <w:vertAlign w:val="superscript"/>
    </w:rPr>
  </w:style>
  <w:style w:type="character" w:customStyle="1" w:styleId="Symbols">
    <w:name w:val="Symbols"/>
    <w:basedOn w:val="DefaultParagraphFont"/>
    <w:rsid w:val="00EE28C1"/>
    <w:rPr>
      <w:rFonts w:ascii="Symbol" w:hAnsi="Symbol"/>
    </w:rPr>
  </w:style>
  <w:style w:type="character" w:customStyle="1" w:styleId="MenuOptions">
    <w:name w:val="Menu Options"/>
    <w:basedOn w:val="DefaultParagraphFont"/>
    <w:rsid w:val="00EE28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28C1"/>
    <w:rPr>
      <w:b/>
    </w:rPr>
  </w:style>
  <w:style w:type="character" w:customStyle="1" w:styleId="Underlined">
    <w:name w:val="Underlined"/>
    <w:basedOn w:val="DefaultParagraphFont"/>
    <w:rsid w:val="00EE28C1"/>
    <w:rPr>
      <w:u w:val="single"/>
    </w:rPr>
  </w:style>
  <w:style w:type="paragraph" w:customStyle="1" w:styleId="TableBodyTextRight">
    <w:name w:val="Table Body Text Right"/>
    <w:basedOn w:val="TableBodyText"/>
    <w:rsid w:val="00EE28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28C1"/>
    <w:rPr>
      <w:sz w:val="18"/>
    </w:rPr>
  </w:style>
  <w:style w:type="paragraph" w:customStyle="1" w:styleId="BodySmallRight">
    <w:name w:val="Body Small Right"/>
    <w:basedOn w:val="BodyTextRight"/>
    <w:rsid w:val="00EE28C1"/>
    <w:rPr>
      <w:sz w:val="18"/>
      <w:szCs w:val="18"/>
    </w:rPr>
  </w:style>
  <w:style w:type="paragraph" w:customStyle="1" w:styleId="MarginEdition">
    <w:name w:val="Margin Edition"/>
    <w:basedOn w:val="MarginNote"/>
    <w:rsid w:val="00EE28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28C1"/>
    <w:rPr>
      <w:sz w:val="2"/>
      <w:szCs w:val="2"/>
    </w:rPr>
  </w:style>
  <w:style w:type="character" w:customStyle="1" w:styleId="Small">
    <w:name w:val="Small"/>
    <w:basedOn w:val="DefaultParagraphFont"/>
    <w:rsid w:val="00EE28C1"/>
    <w:rPr>
      <w:sz w:val="16"/>
    </w:rPr>
  </w:style>
  <w:style w:type="paragraph" w:customStyle="1" w:styleId="WideTable">
    <w:name w:val="Wide Table"/>
    <w:basedOn w:val="Normal"/>
    <w:rsid w:val="00EE28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28C1"/>
  </w:style>
  <w:style w:type="paragraph" w:styleId="Quote">
    <w:name w:val="Quote"/>
    <w:basedOn w:val="Heading1"/>
    <w:link w:val="QuoteChar"/>
    <w:qFormat/>
    <w:rsid w:val="00EE28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28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28C1"/>
    <w:pPr>
      <w:pageBreakBefore/>
    </w:pPr>
  </w:style>
  <w:style w:type="paragraph" w:customStyle="1" w:styleId="Border">
    <w:name w:val="Border"/>
    <w:basedOn w:val="Normal"/>
    <w:qFormat/>
    <w:rsid w:val="00EE28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28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8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8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28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28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28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28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28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28C1"/>
    <w:rPr>
      <w:u w:val="single"/>
    </w:rPr>
  </w:style>
  <w:style w:type="character" w:customStyle="1" w:styleId="BoldandItalics">
    <w:name w:val="Bold and Italics"/>
    <w:qFormat/>
    <w:rsid w:val="00EE28C1"/>
    <w:rPr>
      <w:b/>
      <w:i/>
      <w:u w:val="none"/>
    </w:rPr>
  </w:style>
  <w:style w:type="paragraph" w:styleId="BalloonText">
    <w:name w:val="Balloon Text"/>
    <w:basedOn w:val="Normal"/>
    <w:link w:val="BalloonTextChar"/>
    <w:rsid w:val="00EE28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28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28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28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28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28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28C1"/>
    <w:pPr>
      <w:spacing w:before="0" w:after="0"/>
    </w:pPr>
  </w:style>
  <w:style w:type="paragraph" w:customStyle="1" w:styleId="BodyTextBold">
    <w:name w:val="Body Text Bold"/>
    <w:basedOn w:val="BodyText"/>
    <w:qFormat/>
    <w:rsid w:val="00EE28C1"/>
    <w:rPr>
      <w:b/>
    </w:rPr>
  </w:style>
  <w:style w:type="character" w:styleId="Hyperlink">
    <w:name w:val="Hyperlink"/>
    <w:basedOn w:val="DefaultParagraphFont"/>
    <w:uiPriority w:val="99"/>
    <w:unhideWhenUsed/>
    <w:rsid w:val="00BE20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824</Words>
  <Characters>4994</Characters>
  <Application>Microsoft Office Word</Application>
  <DocSecurity>0</DocSecurity>
  <Lines>227</Lines>
  <Paragraphs>103</Paragraphs>
  <ScaleCrop>false</ScaleCrop>
  <Company>Author-it Software Corporation Ltd.</Company>
  <LinksUpToDate>false</LinksUpToDate>
  <CharactersWithSpaces>5715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DEFPHL014 Investigate and control outbreak of disease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2022-03-23T02:13:00Z</dcterms:created>
  <dcterms:modified xsi:type="dcterms:W3CDTF">2022-03-23T02:13:00Z</dcterms:modified>
</cp:coreProperties>
</file>