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C6D" w:rsidP="00E03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DEFPET007 Assist in the operation of the towed flexible barge system</w:t>
      </w:r>
      <w:r>
        <w:fldChar w:fldCharType="end"/>
      </w:r>
    </w:p>
    <w:p w:rsidR="00E03C6D" w:rsidP="00E03C6D">
      <w:pPr>
        <w:pStyle w:val="Version"/>
        <w:sectPr w:rsidSect="00992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4C2" w:rsidP="009924C2">
      <w:pPr>
        <w:pStyle w:val="SuperHeading"/>
      </w:pPr>
      <w:r w:rsidRPr="009924C2">
        <w:t>DEFPET007 Assist in the operation of the towed flexible barge system</w:t>
      </w:r>
    </w:p>
    <w:p w:rsidR="00000000" w:rsidRPr="009924C2" w:rsidP="009924C2">
      <w:pPr>
        <w:pStyle w:val="Heading1"/>
      </w:pPr>
      <w:bookmarkStart w:id="1" w:name="O_958496"/>
      <w:bookmarkEnd w:id="1"/>
      <w:r w:rsidRPr="009924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Release 1. This is the first release of this unit of competency in the DEF Defence Training Package.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2" w:name="O_958497"/>
      <w:bookmarkEnd w:id="2"/>
      <w:r w:rsidRPr="009924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This unit specifies the skills and knowledge required to assist in the operation of the towed flexible barge (TFB) system to transfer fuel from ships anchored offshore to shore-based storage facilities.</w:t>
            </w:r>
          </w:p>
          <w:p w:rsidR="00000000" w:rsidRPr="009924C2" w:rsidP="009924C2">
            <w:pPr>
              <w:pStyle w:val="BodyText"/>
            </w:pPr>
            <w:r w:rsidRPr="009924C2">
              <w:t>It includes preparing to receive fuel from maritime o</w:t>
            </w:r>
            <w:r w:rsidRPr="009924C2">
              <w:t>perations and issuing fuel from a TFB system to shorebased operations.</w:t>
            </w:r>
          </w:p>
          <w:p w:rsidR="00000000" w:rsidRPr="009924C2" w:rsidP="009924C2">
            <w:pPr>
              <w:pStyle w:val="BodyText"/>
            </w:pPr>
            <w:r w:rsidRPr="009924C2">
              <w:t>A TFB system is utilised in marine environments where no other facilities exist to transfer large quantities of fuel from ocean tankers to shorebased field fuel installations.</w:t>
            </w:r>
          </w:p>
          <w:p w:rsidR="00000000" w:rsidRPr="009924C2" w:rsidP="009924C2">
            <w:pPr>
              <w:pStyle w:val="BodyText"/>
            </w:pPr>
            <w:r w:rsidRPr="009924C2">
              <w:t>This unit</w:t>
            </w:r>
            <w:r w:rsidRPr="009924C2">
              <w:t xml:space="preserve"> applies to persons working as petroleum operators in Defence but is applicable to any individual in this field of work.</w:t>
            </w:r>
          </w:p>
          <w:p w:rsidR="00000000" w:rsidRPr="009924C2" w:rsidP="009924C2">
            <w:pPr>
              <w:pStyle w:val="BodyText"/>
            </w:pPr>
            <w:r w:rsidRPr="009924C2">
              <w:t>The skills and knowledge described in this unit must be applied within the legislative, regulatory and policy environment in which they</w:t>
            </w:r>
            <w:r w:rsidRPr="009924C2">
              <w:t xml:space="preserve"> are carried out. Organisational policies and procedures must be consulted and adhered to.</w:t>
            </w:r>
          </w:p>
          <w:p w:rsidR="00000000" w:rsidRPr="009924C2" w:rsidP="009924C2">
            <w:pPr>
              <w:pStyle w:val="BodyText"/>
            </w:pPr>
            <w:r w:rsidRPr="009924C2">
              <w:t>Persons undertaking this unit work independently and as part of a team under supervision and perform routine tasks in a range of contexts.</w:t>
            </w:r>
          </w:p>
          <w:p w:rsidR="00000000" w:rsidRPr="009924C2" w:rsidP="009924C2">
            <w:pPr>
              <w:pStyle w:val="BodyText"/>
            </w:pPr>
            <w:r w:rsidRPr="009924C2">
              <w:t xml:space="preserve">No licensing, legislative </w:t>
            </w:r>
            <w:r w:rsidRPr="009924C2">
              <w:t>or certification requirements apply to this unit at the time of publication.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3" w:name="O_958498"/>
      <w:bookmarkEnd w:id="3"/>
      <w:r w:rsidRPr="009924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Not applicable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4" w:name="O_958499"/>
      <w:bookmarkEnd w:id="4"/>
      <w:r w:rsidRPr="009924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Petroleum Operations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5" w:name="O_958500"/>
      <w:bookmarkEnd w:id="5"/>
      <w:r w:rsidRPr="009924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Not applicable.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6" w:name="O_958501"/>
      <w:bookmarkEnd w:id="6"/>
      <w:r w:rsidRPr="009924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PERFORMANCE CRITERIA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Performance criteria describe the performance needed to demonstrate achievement of the element.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Prepare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Obtain and confirm task with relevant personnel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Unpack and inspect components for serviceability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Assemble TFB system components in accordance with manufacturer specifications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Obtain and confirm operational, administrative and emergency response orders and procedures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Select and use appropriate personal protective equipment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Apply work health and safety (WHS)/occupational health and safety (OHS) requirements and safe</w:t>
            </w:r>
            <w:r w:rsidRPr="009924C2">
              <w:t>ty precautions in accordance with operational procedures and emergency response plan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Identify and apply environmentally sustainable work practices, as required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Complete appropriate documentation or records as required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Receive fuel from ship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Connect TFB to ship’s pipeline in preparation for fuel transfer operations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Conduct pre-operation checks in accordance with task instructions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Test fuel for contamination, record results and quarantine defective produ</w:t>
            </w:r>
            <w:r w:rsidRPr="009924C2">
              <w:t>ct as required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Transfer fuel in accordance with task instructions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Disconnect TFB from refuelling ship in accordance with operational procedures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Issue fuel from TFB system to shore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Connect power pack, hydraulic lines and floating pipeline system to manifold raft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Connect TFB to manifold raft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Conduct pre-operation fuel transfer checks in accordance with manufacturer specifications and operational procedures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Transfer fuel to meet task requirements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Monitor petroleum equipment during transfer and report or rectify faults in accordance with emergency response plan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Monitor fuel transfer gauges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Maintain communication with team members and relevant personnel during fuel transfer operations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Disconnect TFB from manifold raft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Inspect floating pipeline system with a pipeline inspection gauge in accordance with manufacturer specifications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Recover equipment safely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rPr>
                <w:rStyle w:val="SpecialBold"/>
              </w:rPr>
              <w:t>Finalise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Clean and restow TFB system equipment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t>Inspect equipment for damage in accordance with operational procedures</w:t>
            </w:r>
          </w:p>
        </w:tc>
      </w:tr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C2">
            <w:pPr>
              <w:pStyle w:val="BodyText"/>
              <w:rPr>
                <w:lang w:val="en-NZ"/>
              </w:rPr>
            </w:pPr>
            <w:r w:rsidRPr="009924C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Conduct maintenance and minor repairs, as required, ensuring compliance with environmental procedures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7" w:name="O_958502"/>
      <w:bookmarkEnd w:id="7"/>
      <w:r w:rsidRPr="009924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Foundation skills essential to performance are explicit in the performance criteria of this unit of competency.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8" w:name="O_958503"/>
      <w:bookmarkEnd w:id="8"/>
      <w:r w:rsidRPr="009924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Range is restricted to essential operating conditions and any other variables essential to the work environment.</w:t>
            </w:r>
          </w:p>
          <w:p w:rsidR="00000000" w:rsidRPr="009924C2" w:rsidP="009924C2">
            <w:pPr>
              <w:pStyle w:val="BodyText"/>
            </w:pPr>
            <w:r w:rsidRPr="009924C2">
              <w:t>Non-essential conditions may be found in the Companion Volume Implementation Guide.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9" w:name="O_958504"/>
      <w:bookmarkEnd w:id="9"/>
      <w:r w:rsidRPr="009924C2">
        <w:t>Unit</w:t>
      </w:r>
      <w:r w:rsidRPr="009924C2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4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C2" w:rsidP="009924C2">
            <w:pPr>
              <w:pStyle w:val="BodyText"/>
            </w:pPr>
            <w:r w:rsidRPr="009924C2">
              <w:t>This unit replaces and is equivalent to DEFPE007A Assist in the operation of the towed flexible barge system.</w:t>
            </w:r>
          </w:p>
        </w:tc>
      </w:tr>
    </w:tbl>
    <w:p w:rsidR="00000000" w:rsidRPr="009924C2" w:rsidP="009924C2">
      <w:pPr>
        <w:pStyle w:val="NoPaddingFontSize1"/>
      </w:pPr>
    </w:p>
    <w:p w:rsidR="00000000" w:rsidRPr="009924C2" w:rsidP="009924C2">
      <w:pPr>
        <w:pStyle w:val="AllowPageBreak"/>
      </w:pPr>
    </w:p>
    <w:p w:rsidR="00000000" w:rsidRPr="009924C2" w:rsidP="009924C2">
      <w:pPr>
        <w:pStyle w:val="Heading1"/>
      </w:pPr>
      <w:bookmarkStart w:id="10" w:name="O_958511"/>
      <w:bookmarkEnd w:id="10"/>
      <w:r w:rsidRPr="009924C2">
        <w:t>Links</w:t>
      </w:r>
    </w:p>
    <w:p w:rsidR="00000000" w:rsidRPr="009924C2" w:rsidP="00E03C6D">
      <w:pPr>
        <w:pStyle w:val="BodyText"/>
      </w:pPr>
      <w:r w:rsidRPr="009924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B50B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924C2" w:rsidP="009924C2"/>
    <w:sectPr w:rsidSect="00992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C2" w:rsidRPr="00E03C6D" w:rsidP="00E03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6D" w:rsidP="00992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C6D" w:rsidP="00992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3C6D" w:rsidP="00992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4C2" w:rsidRPr="00E03C6D" w:rsidP="00E03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6D" w:rsidRPr="002D2AF8" w:rsidP="00992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DEFPET007 Assist in the operation of the towed flexible barge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3C6D" w:rsidP="00992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4C2"/>
  </w:style>
  <w:style w:type="character" w:customStyle="1" w:styleId="Heading1Char">
    <w:name w:val="Heading 1 Char"/>
    <w:basedOn w:val="DefaultParagraphFont"/>
    <w:link w:val="Heading1"/>
    <w:rsid w:val="00992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4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24C2"/>
    <w:rPr>
      <w:b/>
      <w:spacing w:val="0"/>
    </w:rPr>
  </w:style>
  <w:style w:type="paragraph" w:customStyle="1" w:styleId="SuperHeading">
    <w:name w:val="SuperHeading"/>
    <w:basedOn w:val="Normal"/>
    <w:rsid w:val="00992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2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4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4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2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4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4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4C2"/>
    <w:rPr>
      <w:i/>
    </w:rPr>
  </w:style>
  <w:style w:type="paragraph" w:styleId="Caption">
    <w:name w:val="caption"/>
    <w:basedOn w:val="BodyText"/>
    <w:next w:val="Normal"/>
    <w:qFormat/>
    <w:rsid w:val="00992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4C2"/>
  </w:style>
  <w:style w:type="paragraph" w:styleId="TableofFigures">
    <w:name w:val="table of figures"/>
    <w:basedOn w:val="Normal"/>
    <w:next w:val="Normal"/>
    <w:semiHidden/>
    <w:rsid w:val="00992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4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24C2"/>
    <w:rPr>
      <w:rFonts w:ascii="Wingdings" w:hAnsi="Wingdings"/>
    </w:rPr>
  </w:style>
  <w:style w:type="paragraph" w:customStyle="1" w:styleId="TableHeading">
    <w:name w:val="Table Heading"/>
    <w:basedOn w:val="HeadingBase"/>
    <w:rsid w:val="00992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4C2"/>
    <w:rPr>
      <w:color w:val="0033CC"/>
      <w:u w:val="none"/>
    </w:rPr>
  </w:style>
  <w:style w:type="paragraph" w:customStyle="1" w:styleId="BodyTextRight">
    <w:name w:val="Body Text Right"/>
    <w:basedOn w:val="BodyText"/>
    <w:rsid w:val="00992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4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4C2"/>
    <w:rPr>
      <w:sz w:val="32"/>
    </w:rPr>
  </w:style>
  <w:style w:type="paragraph" w:customStyle="1" w:styleId="HeadingProcedure">
    <w:name w:val="Heading Procedure"/>
    <w:basedOn w:val="HeadingBase"/>
    <w:next w:val="Normal"/>
    <w:rsid w:val="00992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4C2"/>
    <w:pPr>
      <w:spacing w:before="60" w:after="60"/>
    </w:pPr>
  </w:style>
  <w:style w:type="paragraph" w:styleId="ListContinue">
    <w:name w:val="List Continue"/>
    <w:basedOn w:val="List"/>
    <w:rsid w:val="009924C2"/>
    <w:pPr>
      <w:ind w:firstLine="0"/>
    </w:pPr>
  </w:style>
  <w:style w:type="paragraph" w:customStyle="1" w:styleId="ListNote">
    <w:name w:val="List Note"/>
    <w:basedOn w:val="List"/>
    <w:rsid w:val="00992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4C2"/>
    <w:rPr>
      <w:rFonts w:ascii="Courier New" w:hAnsi="Courier New"/>
    </w:rPr>
  </w:style>
  <w:style w:type="paragraph" w:customStyle="1" w:styleId="NoteBullet">
    <w:name w:val="Note Bullet"/>
    <w:basedOn w:val="Note"/>
    <w:rsid w:val="00992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4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2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4C2"/>
    <w:rPr>
      <w:b/>
      <w:smallCaps/>
    </w:rPr>
  </w:style>
  <w:style w:type="paragraph" w:customStyle="1" w:styleId="TableListNumber">
    <w:name w:val="Table List Number"/>
    <w:basedOn w:val="ListNumber"/>
    <w:rsid w:val="00992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4C2"/>
    <w:pPr>
      <w:numPr>
        <w:numId w:val="7"/>
      </w:numPr>
    </w:pPr>
  </w:style>
  <w:style w:type="paragraph" w:customStyle="1" w:styleId="ListAlpha2">
    <w:name w:val="List Alpha 2"/>
    <w:basedOn w:val="List2"/>
    <w:rsid w:val="009924C2"/>
    <w:pPr>
      <w:numPr>
        <w:numId w:val="6"/>
      </w:numPr>
    </w:pPr>
  </w:style>
  <w:style w:type="paragraph" w:styleId="List2">
    <w:name w:val="List 2"/>
    <w:basedOn w:val="BodyText"/>
    <w:rsid w:val="00992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4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4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24C2"/>
    <w:pPr>
      <w:numPr>
        <w:numId w:val="2"/>
      </w:numPr>
    </w:pPr>
  </w:style>
  <w:style w:type="paragraph" w:styleId="ListContinue2">
    <w:name w:val="List Continue 2"/>
    <w:basedOn w:val="List2"/>
    <w:rsid w:val="009924C2"/>
    <w:pPr>
      <w:ind w:firstLine="0"/>
    </w:pPr>
  </w:style>
  <w:style w:type="paragraph" w:styleId="ListContinue3">
    <w:name w:val="List Continue 3"/>
    <w:basedOn w:val="List3"/>
    <w:rsid w:val="009924C2"/>
    <w:pPr>
      <w:ind w:left="1021" w:firstLine="0"/>
    </w:pPr>
  </w:style>
  <w:style w:type="paragraph" w:styleId="ListContinue4">
    <w:name w:val="List Continue 4"/>
    <w:basedOn w:val="List4"/>
    <w:rsid w:val="009924C2"/>
    <w:pPr>
      <w:ind w:firstLine="0"/>
    </w:pPr>
  </w:style>
  <w:style w:type="paragraph" w:styleId="ListContinue5">
    <w:name w:val="List Continue 5"/>
    <w:basedOn w:val="List5"/>
    <w:rsid w:val="009924C2"/>
    <w:pPr>
      <w:ind w:firstLine="0"/>
    </w:pPr>
  </w:style>
  <w:style w:type="paragraph" w:styleId="ListNumber3">
    <w:name w:val="List Number 3"/>
    <w:basedOn w:val="List3"/>
    <w:rsid w:val="009924C2"/>
    <w:pPr>
      <w:numPr>
        <w:numId w:val="3"/>
      </w:numPr>
    </w:pPr>
  </w:style>
  <w:style w:type="paragraph" w:styleId="ListNumber4">
    <w:name w:val="List Number 4"/>
    <w:basedOn w:val="List4"/>
    <w:rsid w:val="009924C2"/>
    <w:pPr>
      <w:numPr>
        <w:numId w:val="4"/>
      </w:numPr>
    </w:pPr>
  </w:style>
  <w:style w:type="paragraph" w:styleId="ListNumber5">
    <w:name w:val="List Number 5"/>
    <w:basedOn w:val="List5"/>
    <w:rsid w:val="009924C2"/>
    <w:pPr>
      <w:numPr>
        <w:numId w:val="5"/>
      </w:numPr>
    </w:pPr>
  </w:style>
  <w:style w:type="paragraph" w:styleId="BlockText">
    <w:name w:val="Block Text"/>
    <w:basedOn w:val="Normal"/>
    <w:rsid w:val="00992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4C2"/>
    <w:rPr>
      <w:sz w:val="16"/>
      <w:vertAlign w:val="superscript"/>
    </w:rPr>
  </w:style>
  <w:style w:type="character" w:customStyle="1" w:styleId="Symbols">
    <w:name w:val="Symbols"/>
    <w:basedOn w:val="DefaultParagraphFont"/>
    <w:rsid w:val="009924C2"/>
    <w:rPr>
      <w:rFonts w:ascii="Symbol" w:hAnsi="Symbol"/>
    </w:rPr>
  </w:style>
  <w:style w:type="character" w:customStyle="1" w:styleId="MenuOptions">
    <w:name w:val="Menu Options"/>
    <w:basedOn w:val="DefaultParagraphFont"/>
    <w:rsid w:val="00992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4C2"/>
    <w:rPr>
      <w:b/>
    </w:rPr>
  </w:style>
  <w:style w:type="character" w:customStyle="1" w:styleId="Underlined">
    <w:name w:val="Underlined"/>
    <w:basedOn w:val="DefaultParagraphFont"/>
    <w:rsid w:val="009924C2"/>
    <w:rPr>
      <w:u w:val="single"/>
    </w:rPr>
  </w:style>
  <w:style w:type="paragraph" w:customStyle="1" w:styleId="TableBodyTextRight">
    <w:name w:val="Table Body Text Right"/>
    <w:basedOn w:val="TableBodyText"/>
    <w:rsid w:val="00992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4C2"/>
    <w:rPr>
      <w:sz w:val="18"/>
    </w:rPr>
  </w:style>
  <w:style w:type="paragraph" w:customStyle="1" w:styleId="BodySmallRight">
    <w:name w:val="Body Small Right"/>
    <w:basedOn w:val="BodyTextRight"/>
    <w:rsid w:val="009924C2"/>
    <w:rPr>
      <w:sz w:val="18"/>
      <w:szCs w:val="18"/>
    </w:rPr>
  </w:style>
  <w:style w:type="paragraph" w:customStyle="1" w:styleId="MarginEdition">
    <w:name w:val="Margin Edition"/>
    <w:basedOn w:val="MarginNote"/>
    <w:rsid w:val="00992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4C2"/>
    <w:rPr>
      <w:sz w:val="2"/>
      <w:szCs w:val="2"/>
    </w:rPr>
  </w:style>
  <w:style w:type="character" w:customStyle="1" w:styleId="Small">
    <w:name w:val="Small"/>
    <w:basedOn w:val="DefaultParagraphFont"/>
    <w:rsid w:val="009924C2"/>
    <w:rPr>
      <w:sz w:val="16"/>
    </w:rPr>
  </w:style>
  <w:style w:type="paragraph" w:customStyle="1" w:styleId="WideTable">
    <w:name w:val="Wide Table"/>
    <w:basedOn w:val="Normal"/>
    <w:rsid w:val="00992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4C2"/>
  </w:style>
  <w:style w:type="paragraph" w:styleId="Quote">
    <w:name w:val="Quote"/>
    <w:basedOn w:val="Heading1"/>
    <w:link w:val="QuoteChar"/>
    <w:qFormat/>
    <w:rsid w:val="00992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4C2"/>
    <w:pPr>
      <w:pageBreakBefore/>
    </w:pPr>
  </w:style>
  <w:style w:type="paragraph" w:customStyle="1" w:styleId="Border">
    <w:name w:val="Border"/>
    <w:basedOn w:val="Normal"/>
    <w:qFormat/>
    <w:rsid w:val="00992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4C2"/>
    <w:rPr>
      <w:u w:val="single"/>
    </w:rPr>
  </w:style>
  <w:style w:type="character" w:customStyle="1" w:styleId="BoldandItalics">
    <w:name w:val="Bold and Italics"/>
    <w:qFormat/>
    <w:rsid w:val="009924C2"/>
    <w:rPr>
      <w:b/>
      <w:i/>
      <w:u w:val="none"/>
    </w:rPr>
  </w:style>
  <w:style w:type="paragraph" w:styleId="BalloonText">
    <w:name w:val="Balloon Text"/>
    <w:basedOn w:val="Normal"/>
    <w:link w:val="BalloonTextChar"/>
    <w:rsid w:val="00992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4C2"/>
    <w:pPr>
      <w:spacing w:before="0" w:after="0"/>
    </w:pPr>
  </w:style>
  <w:style w:type="paragraph" w:customStyle="1" w:styleId="BodyTextBold">
    <w:name w:val="Body Text Bold"/>
    <w:basedOn w:val="BodyText"/>
    <w:qFormat/>
    <w:rsid w:val="009924C2"/>
    <w:rPr>
      <w:b/>
    </w:rPr>
  </w:style>
  <w:style w:type="character" w:styleId="Hyperlink">
    <w:name w:val="Hyperlink"/>
    <w:basedOn w:val="DefaultParagraphFont"/>
    <w:uiPriority w:val="99"/>
    <w:unhideWhenUsed/>
    <w:rsid w:val="00E03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4031</Characters>
  <Application>Microsoft Office Word</Application>
  <DocSecurity>0</DocSecurity>
  <Lines>212</Lines>
  <Paragraphs>114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DEFPET007 Assist in the operation of the towed flexible barge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