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254D" w:rsidP="000E254D">
      <w:pPr>
        <w:pStyle w:val="Title"/>
      </w:pPr>
      <w:r>
        <w:fldChar w:fldCharType="begin"/>
      </w:r>
      <w:r>
        <w:instrText xml:space="preserve"> TITLE   \* MERGEFORMAT </w:instrText>
      </w:r>
      <w:r>
        <w:fldChar w:fldCharType="separate"/>
      </w:r>
      <w:r>
        <w:t>DEFPET007 Assist in the operation of the towed flexible barge system</w:t>
      </w:r>
      <w:r>
        <w:fldChar w:fldCharType="end"/>
      </w:r>
    </w:p>
    <w:p w:rsidR="000E254D" w:rsidP="000E254D">
      <w:pPr>
        <w:pStyle w:val="Version"/>
        <w:sectPr w:rsidSect="00A233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338C" w:rsidP="00A2338C">
      <w:pPr>
        <w:pStyle w:val="SuperHeading"/>
      </w:pPr>
      <w:r w:rsidRPr="00A2338C">
        <w:t>DEFPET007 Assist in the operation of the towed flexible barge system</w:t>
      </w:r>
    </w:p>
    <w:p w:rsidR="00000000" w:rsidRPr="00A2338C" w:rsidP="00A2338C">
      <w:pPr>
        <w:pStyle w:val="Heading1"/>
      </w:pPr>
      <w:bookmarkStart w:id="1" w:name="O_958496"/>
      <w:bookmarkEnd w:id="1"/>
      <w:r w:rsidRPr="00A2338C">
        <w:t>Modification History</w:t>
      </w:r>
    </w:p>
    <w:tbl>
      <w:tblPr>
        <w:tblW w:w="9497" w:type="dxa"/>
        <w:tblLayout w:type="fixed"/>
        <w:tblCellMar>
          <w:left w:w="62" w:type="dxa"/>
          <w:right w:w="62" w:type="dxa"/>
        </w:tblCellMar>
        <w:tblLook w:val="0000"/>
      </w:tblPr>
      <w:tblGrid>
        <w:gridCol w:w="9497"/>
      </w:tblGrid>
      <w:tr w:rsidTr="00A233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338C" w:rsidP="00A2338C">
            <w:pPr>
              <w:pStyle w:val="BodyText"/>
            </w:pPr>
            <w:r w:rsidRPr="00A2338C">
              <w:t>Release 1. This is the first release of this unit of competency in the DEF Defence Training Package.</w:t>
            </w:r>
          </w:p>
        </w:tc>
      </w:tr>
    </w:tbl>
    <w:p w:rsidR="00000000" w:rsidRPr="00A2338C" w:rsidP="00A2338C">
      <w:pPr>
        <w:pStyle w:val="NoPaddingFontSize1"/>
      </w:pPr>
    </w:p>
    <w:p w:rsidR="00000000" w:rsidRPr="00A2338C" w:rsidP="00A2338C">
      <w:pPr>
        <w:pStyle w:val="AllowPageBreak"/>
      </w:pPr>
    </w:p>
    <w:p w:rsidR="00000000" w:rsidRPr="00A2338C" w:rsidP="00A2338C">
      <w:pPr>
        <w:pStyle w:val="Heading1"/>
      </w:pPr>
      <w:bookmarkStart w:id="2" w:name="O_958497"/>
      <w:bookmarkEnd w:id="2"/>
      <w:r w:rsidRPr="00A2338C">
        <w:t>Application</w:t>
      </w:r>
    </w:p>
    <w:tbl>
      <w:tblPr>
        <w:tblW w:w="9497" w:type="dxa"/>
        <w:tblLayout w:type="fixed"/>
        <w:tblCellMar>
          <w:left w:w="62" w:type="dxa"/>
          <w:right w:w="62" w:type="dxa"/>
        </w:tblCellMar>
        <w:tblLook w:val="0000"/>
      </w:tblPr>
      <w:tblGrid>
        <w:gridCol w:w="9497"/>
      </w:tblGrid>
      <w:tr w:rsidTr="00A233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338C" w:rsidP="00A2338C">
            <w:pPr>
              <w:pStyle w:val="BodyText"/>
            </w:pPr>
            <w:r w:rsidRPr="00A2338C">
              <w:t>This unit specifies the skills and knowledge required to assist in the operation of the towed flexible barge (TFB) system to transfer fuel from ships anchored offshore to shore-based storage facilities.</w:t>
            </w:r>
          </w:p>
          <w:p w:rsidR="00000000" w:rsidRPr="00A2338C" w:rsidP="00A2338C">
            <w:pPr>
              <w:pStyle w:val="BodyText"/>
            </w:pPr>
            <w:r w:rsidRPr="00A2338C">
              <w:t>It includes preparing to receive fuel from maritime o</w:t>
            </w:r>
            <w:r w:rsidRPr="00A2338C">
              <w:t>perations and issuing fuel from a TFB system to shorebased operations.</w:t>
            </w:r>
          </w:p>
          <w:p w:rsidR="00000000" w:rsidRPr="00A2338C" w:rsidP="00A2338C">
            <w:pPr>
              <w:pStyle w:val="BodyText"/>
            </w:pPr>
            <w:r w:rsidRPr="00A2338C">
              <w:t>A TFB system is utilised in marine environments where no other facilities exist to transfer large quantities of fuel from ocean tankers to shorebased field fuel installations.</w:t>
            </w:r>
          </w:p>
          <w:p w:rsidR="00000000" w:rsidRPr="00A2338C" w:rsidP="00A2338C">
            <w:pPr>
              <w:pStyle w:val="BodyText"/>
            </w:pPr>
            <w:r w:rsidRPr="00A2338C">
              <w:t>This unit</w:t>
            </w:r>
            <w:r w:rsidRPr="00A2338C">
              <w:t xml:space="preserve"> applies to persons working as petroleum operators in Defence but is applicable to any individual in this field of work.</w:t>
            </w:r>
          </w:p>
          <w:p w:rsidR="00000000" w:rsidRPr="00A2338C" w:rsidP="00A2338C">
            <w:pPr>
              <w:pStyle w:val="BodyText"/>
            </w:pPr>
            <w:r w:rsidRPr="00A2338C">
              <w:t>The skills and knowledge described in this unit must be applied within the legislative, regulatory and policy environment in which they</w:t>
            </w:r>
            <w:r w:rsidRPr="00A2338C">
              <w:t xml:space="preserve"> are carried out. Organisational policies and procedures must be consulted and adhered to.</w:t>
            </w:r>
          </w:p>
          <w:p w:rsidR="00000000" w:rsidRPr="00A2338C" w:rsidP="00A2338C">
            <w:pPr>
              <w:pStyle w:val="BodyText"/>
            </w:pPr>
            <w:r w:rsidRPr="00A2338C">
              <w:t>Persons undertaking this unit work independently and as part of a team under supervision and perform routine tasks in a range of contexts.</w:t>
            </w:r>
          </w:p>
          <w:p w:rsidR="00000000" w:rsidRPr="00A2338C" w:rsidP="00A2338C">
            <w:pPr>
              <w:pStyle w:val="BodyText"/>
            </w:pPr>
            <w:r w:rsidRPr="00A2338C">
              <w:t xml:space="preserve">No licensing, legislative </w:t>
            </w:r>
            <w:r w:rsidRPr="00A2338C">
              <w:t>or certification requirements apply to this unit at the time of publication.</w:t>
            </w:r>
          </w:p>
        </w:tc>
      </w:tr>
    </w:tbl>
    <w:p w:rsidR="00000000" w:rsidRPr="00A2338C" w:rsidP="00A2338C">
      <w:pPr>
        <w:pStyle w:val="NoPaddingFontSize1"/>
      </w:pPr>
    </w:p>
    <w:p w:rsidR="00000000" w:rsidRPr="00A2338C" w:rsidP="00A2338C">
      <w:pPr>
        <w:pStyle w:val="AllowPageBreak"/>
      </w:pPr>
    </w:p>
    <w:p w:rsidR="00000000" w:rsidRPr="00A2338C" w:rsidP="00A2338C">
      <w:pPr>
        <w:pStyle w:val="Heading1"/>
      </w:pPr>
      <w:bookmarkStart w:id="3" w:name="O_958498"/>
      <w:bookmarkEnd w:id="3"/>
      <w:r w:rsidRPr="00A2338C">
        <w:t>Pre-requisite Unit</w:t>
      </w:r>
    </w:p>
    <w:tbl>
      <w:tblPr>
        <w:tblW w:w="9497" w:type="dxa"/>
        <w:tblLayout w:type="fixed"/>
        <w:tblCellMar>
          <w:left w:w="62" w:type="dxa"/>
          <w:right w:w="62" w:type="dxa"/>
        </w:tblCellMar>
        <w:tblLook w:val="0000"/>
      </w:tblPr>
      <w:tblGrid>
        <w:gridCol w:w="9497"/>
      </w:tblGrid>
      <w:tr w:rsidTr="00A233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338C" w:rsidP="00A2338C">
            <w:pPr>
              <w:pStyle w:val="BodyText"/>
            </w:pPr>
            <w:r w:rsidRPr="00A2338C">
              <w:t>Not applicable</w:t>
            </w:r>
          </w:p>
        </w:tc>
      </w:tr>
    </w:tbl>
    <w:p w:rsidR="00000000" w:rsidRPr="00A2338C" w:rsidP="00A2338C">
      <w:pPr>
        <w:pStyle w:val="NoPaddingFontSize1"/>
      </w:pPr>
    </w:p>
    <w:p w:rsidR="00000000" w:rsidRPr="00A2338C" w:rsidP="00A2338C">
      <w:pPr>
        <w:pStyle w:val="AllowPageBreak"/>
      </w:pPr>
    </w:p>
    <w:p w:rsidR="00000000" w:rsidRPr="00A2338C" w:rsidP="00A2338C">
      <w:pPr>
        <w:pStyle w:val="Heading1"/>
      </w:pPr>
      <w:bookmarkStart w:id="4" w:name="O_958499"/>
      <w:bookmarkEnd w:id="4"/>
      <w:r w:rsidRPr="00A2338C">
        <w:t>Competency Field</w:t>
      </w:r>
    </w:p>
    <w:tbl>
      <w:tblPr>
        <w:tblW w:w="9497" w:type="dxa"/>
        <w:tblLayout w:type="fixed"/>
        <w:tblCellMar>
          <w:left w:w="62" w:type="dxa"/>
          <w:right w:w="62" w:type="dxa"/>
        </w:tblCellMar>
        <w:tblLook w:val="0000"/>
      </w:tblPr>
      <w:tblGrid>
        <w:gridCol w:w="9497"/>
      </w:tblGrid>
      <w:tr w:rsidTr="00A233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338C" w:rsidP="00A2338C">
            <w:pPr>
              <w:pStyle w:val="BodyText"/>
            </w:pPr>
            <w:r w:rsidRPr="00A2338C">
              <w:t>Petroleum Operations</w:t>
            </w:r>
          </w:p>
        </w:tc>
      </w:tr>
    </w:tbl>
    <w:p w:rsidR="00000000" w:rsidRPr="00A2338C" w:rsidP="00A2338C">
      <w:pPr>
        <w:pStyle w:val="NoPaddingFontSize1"/>
      </w:pPr>
    </w:p>
    <w:p w:rsidR="00000000" w:rsidRPr="00A2338C" w:rsidP="00A2338C">
      <w:pPr>
        <w:pStyle w:val="AllowPageBreak"/>
      </w:pPr>
    </w:p>
    <w:p w:rsidR="00000000" w:rsidRPr="00A2338C" w:rsidP="00A2338C">
      <w:pPr>
        <w:pStyle w:val="Heading1"/>
      </w:pPr>
      <w:bookmarkStart w:id="5" w:name="O_958500"/>
      <w:bookmarkEnd w:id="5"/>
      <w:r w:rsidRPr="00A2338C">
        <w:t>Unit Sector</w:t>
      </w:r>
    </w:p>
    <w:tbl>
      <w:tblPr>
        <w:tblW w:w="9497" w:type="dxa"/>
        <w:tblLayout w:type="fixed"/>
        <w:tblCellMar>
          <w:left w:w="62" w:type="dxa"/>
          <w:right w:w="62" w:type="dxa"/>
        </w:tblCellMar>
        <w:tblLook w:val="0000"/>
      </w:tblPr>
      <w:tblGrid>
        <w:gridCol w:w="9497"/>
      </w:tblGrid>
      <w:tr w:rsidTr="00A233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338C" w:rsidP="00A2338C">
            <w:pPr>
              <w:pStyle w:val="BodyText"/>
            </w:pPr>
            <w:r w:rsidRPr="00A2338C">
              <w:t>Not applicable.</w:t>
            </w:r>
          </w:p>
        </w:tc>
      </w:tr>
    </w:tbl>
    <w:p w:rsidR="00000000" w:rsidRPr="00A2338C" w:rsidP="00A2338C">
      <w:pPr>
        <w:pStyle w:val="NoPaddingFontSize1"/>
      </w:pPr>
    </w:p>
    <w:p w:rsidR="00000000" w:rsidRPr="00A2338C" w:rsidP="00A2338C">
      <w:pPr>
        <w:pStyle w:val="AllowPageBreak"/>
      </w:pPr>
    </w:p>
    <w:p w:rsidR="00000000" w:rsidRPr="00A2338C" w:rsidP="00A2338C">
      <w:pPr>
        <w:pStyle w:val="Heading1"/>
      </w:pPr>
      <w:bookmarkStart w:id="6" w:name="O_958501"/>
      <w:bookmarkEnd w:id="6"/>
      <w:r w:rsidRPr="00A2338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2338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2338C" w:rsidP="00A2338C">
            <w:pPr>
              <w:pStyle w:val="BodyText"/>
            </w:pPr>
            <w:r w:rsidRPr="00A2338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2338C">
            <w:pPr>
              <w:pStyle w:val="BodyText"/>
              <w:rPr>
                <w:lang w:val="en-NZ"/>
              </w:rPr>
            </w:pPr>
            <w:r w:rsidRPr="00A2338C">
              <w:rPr>
                <w:rStyle w:val="SpecialBold"/>
              </w:rPr>
              <w:t>PERFORMANCE CRITERIA</w:t>
            </w:r>
          </w:p>
        </w:tc>
      </w:tr>
      <w:tr w:rsidTr="00A2338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2338C">
            <w:pPr>
              <w:pStyle w:val="BodyText"/>
              <w:rPr>
                <w:lang w:val="en-NZ"/>
              </w:rPr>
            </w:pPr>
            <w:r w:rsidRPr="00A2338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2338C">
            <w:pPr>
              <w:pStyle w:val="BodyText"/>
              <w:rPr>
                <w:lang w:val="en-NZ"/>
              </w:rPr>
            </w:pPr>
            <w:r w:rsidRPr="00A2338C">
              <w:t>Performance criteria describe the performance needed to demonstrate achievement of the element.</w:t>
            </w:r>
          </w:p>
        </w:tc>
      </w:tr>
      <w:tr w:rsidTr="00A233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2338C" w:rsidP="00A2338C">
            <w:pPr>
              <w:pStyle w:val="BodyText"/>
            </w:pPr>
            <w:r w:rsidRPr="00A2338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2338C" w:rsidP="00A2338C">
            <w:pPr>
              <w:pStyle w:val="BodyText"/>
            </w:pPr>
            <w:r w:rsidRPr="00A2338C">
              <w:rPr>
                <w:rStyle w:val="SpecialBold"/>
              </w:rPr>
              <w:t>Prepare for operations</w:t>
            </w:r>
          </w:p>
        </w:tc>
        <w:tc>
          <w:tcPr>
            <w:tcW w:w="697" w:type="dxa"/>
            <w:tcBorders>
              <w:top w:val="nil"/>
              <w:left w:val="nil"/>
              <w:bottom w:val="nil"/>
              <w:right w:val="nil"/>
            </w:tcBorders>
            <w:tcMar>
              <w:top w:w="0" w:type="dxa"/>
              <w:left w:w="62" w:type="dxa"/>
              <w:bottom w:w="0" w:type="dxa"/>
              <w:right w:w="62" w:type="dxa"/>
            </w:tcMar>
          </w:tcPr>
          <w:p w:rsidR="00000000" w:rsidP="00A2338C">
            <w:pPr>
              <w:pStyle w:val="BodyText"/>
              <w:rPr>
                <w:lang w:val="en-NZ"/>
              </w:rPr>
            </w:pPr>
            <w:r w:rsidRPr="00A2338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2338C">
            <w:pPr>
              <w:pStyle w:val="BodyText"/>
              <w:rPr>
                <w:lang w:val="en-NZ"/>
              </w:rPr>
            </w:pPr>
            <w:r w:rsidRPr="00A2338C">
              <w:t>Obtain and confirm task with relevant personnel</w:t>
            </w:r>
          </w:p>
        </w:tc>
      </w:tr>
      <w:tr w:rsidTr="00A233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33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338C">
            <w:pPr>
              <w:pStyle w:val="BodyText"/>
              <w:rPr>
                <w:lang w:val="en-NZ"/>
              </w:rPr>
            </w:pPr>
            <w:r w:rsidRPr="00A2338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2338C">
            <w:pPr>
              <w:pStyle w:val="BodyText"/>
              <w:rPr>
                <w:lang w:val="en-NZ"/>
              </w:rPr>
            </w:pPr>
            <w:r w:rsidRPr="00A2338C">
              <w:t>Unpack and inspect components for serviceability</w:t>
            </w:r>
          </w:p>
        </w:tc>
      </w:tr>
      <w:tr w:rsidTr="00A233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33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338C">
            <w:pPr>
              <w:pStyle w:val="BodyText"/>
              <w:rPr>
                <w:lang w:val="en-NZ"/>
              </w:rPr>
            </w:pPr>
            <w:r w:rsidRPr="00A2338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2338C">
            <w:pPr>
              <w:pStyle w:val="BodyText"/>
              <w:rPr>
                <w:lang w:val="en-NZ"/>
              </w:rPr>
            </w:pPr>
            <w:r w:rsidRPr="00A2338C">
              <w:t>Assemble TFB system components in accordance with manufacturer specifications</w:t>
            </w:r>
          </w:p>
        </w:tc>
      </w:tr>
      <w:tr w:rsidTr="00A233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33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338C">
            <w:pPr>
              <w:pStyle w:val="BodyText"/>
              <w:rPr>
                <w:lang w:val="en-NZ"/>
              </w:rPr>
            </w:pPr>
            <w:r w:rsidRPr="00A2338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2338C">
            <w:pPr>
              <w:pStyle w:val="BodyText"/>
              <w:rPr>
                <w:lang w:val="en-NZ"/>
              </w:rPr>
            </w:pPr>
            <w:r w:rsidRPr="00A2338C">
              <w:t xml:space="preserve">Obtain </w:t>
            </w:r>
            <w:r w:rsidRPr="00A2338C">
              <w:t>and confirm operational, administrative and emergency response orders and procedures</w:t>
            </w:r>
          </w:p>
        </w:tc>
      </w:tr>
      <w:tr w:rsidTr="00A233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33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338C">
            <w:pPr>
              <w:pStyle w:val="BodyText"/>
              <w:rPr>
                <w:lang w:val="en-NZ"/>
              </w:rPr>
            </w:pPr>
            <w:r w:rsidRPr="00A2338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2338C">
            <w:pPr>
              <w:pStyle w:val="BodyText"/>
              <w:rPr>
                <w:lang w:val="en-NZ"/>
              </w:rPr>
            </w:pPr>
            <w:r w:rsidRPr="00A2338C">
              <w:t>Select and use appropriate personal protective equipment</w:t>
            </w:r>
          </w:p>
        </w:tc>
      </w:tr>
      <w:tr w:rsidTr="00A233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33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338C">
            <w:pPr>
              <w:pStyle w:val="BodyText"/>
              <w:rPr>
                <w:lang w:val="en-NZ"/>
              </w:rPr>
            </w:pPr>
            <w:r w:rsidRPr="00A2338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2338C">
            <w:pPr>
              <w:pStyle w:val="BodyText"/>
              <w:rPr>
                <w:lang w:val="en-NZ"/>
              </w:rPr>
            </w:pPr>
            <w:r w:rsidRPr="00A2338C">
              <w:t>Apply work health and safety (WHS)/occupational health and safety (OHS) requirements and safety prec</w:t>
            </w:r>
            <w:r w:rsidRPr="00A2338C">
              <w:t>autions in accordance with operational procedures and emergency response plan</w:t>
            </w:r>
          </w:p>
        </w:tc>
      </w:tr>
      <w:tr w:rsidTr="00A233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33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338C">
            <w:pPr>
              <w:pStyle w:val="BodyText"/>
              <w:rPr>
                <w:lang w:val="en-NZ"/>
              </w:rPr>
            </w:pPr>
            <w:r w:rsidRPr="00A2338C">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A2338C">
            <w:pPr>
              <w:pStyle w:val="BodyText"/>
              <w:rPr>
                <w:lang w:val="en-NZ"/>
              </w:rPr>
            </w:pPr>
            <w:r w:rsidRPr="00A2338C">
              <w:t>Identify and apply environmentally sustainable work practices, as required</w:t>
            </w:r>
          </w:p>
        </w:tc>
      </w:tr>
      <w:tr w:rsidTr="00A233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33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338C">
            <w:pPr>
              <w:pStyle w:val="BodyText"/>
              <w:rPr>
                <w:lang w:val="en-NZ"/>
              </w:rPr>
            </w:pPr>
            <w:r w:rsidRPr="00A2338C">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A2338C">
            <w:pPr>
              <w:pStyle w:val="BodyText"/>
              <w:rPr>
                <w:lang w:val="en-NZ"/>
              </w:rPr>
            </w:pPr>
            <w:r w:rsidRPr="00A2338C">
              <w:t>Complete appropriate documentation or records as required</w:t>
            </w:r>
          </w:p>
        </w:tc>
      </w:tr>
      <w:tr w:rsidTr="00A233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2338C" w:rsidP="00A2338C">
            <w:pPr>
              <w:pStyle w:val="BodyText"/>
            </w:pPr>
            <w:r w:rsidRPr="00A2338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2338C" w:rsidP="00A2338C">
            <w:pPr>
              <w:pStyle w:val="BodyText"/>
            </w:pPr>
            <w:r w:rsidRPr="00A2338C">
              <w:rPr>
                <w:rStyle w:val="SpecialBold"/>
              </w:rPr>
              <w:t>Receive fuel from ship</w:t>
            </w:r>
          </w:p>
        </w:tc>
        <w:tc>
          <w:tcPr>
            <w:tcW w:w="697" w:type="dxa"/>
            <w:tcBorders>
              <w:top w:val="nil"/>
              <w:left w:val="nil"/>
              <w:bottom w:val="nil"/>
              <w:right w:val="nil"/>
            </w:tcBorders>
            <w:tcMar>
              <w:top w:w="0" w:type="dxa"/>
              <w:left w:w="62" w:type="dxa"/>
              <w:bottom w:w="0" w:type="dxa"/>
              <w:right w:w="62" w:type="dxa"/>
            </w:tcMar>
          </w:tcPr>
          <w:p w:rsidR="00000000" w:rsidP="00A2338C">
            <w:pPr>
              <w:pStyle w:val="BodyText"/>
              <w:rPr>
                <w:lang w:val="en-NZ"/>
              </w:rPr>
            </w:pPr>
            <w:r w:rsidRPr="00A2338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2338C">
            <w:pPr>
              <w:pStyle w:val="BodyText"/>
              <w:rPr>
                <w:lang w:val="en-NZ"/>
              </w:rPr>
            </w:pPr>
            <w:r w:rsidRPr="00A2338C">
              <w:t>Connect TFB to ship’s pipeline in preparation for fuel transfer operations</w:t>
            </w:r>
          </w:p>
        </w:tc>
      </w:tr>
      <w:tr w:rsidTr="00A233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33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338C">
            <w:pPr>
              <w:pStyle w:val="BodyText"/>
              <w:rPr>
                <w:lang w:val="en-NZ"/>
              </w:rPr>
            </w:pPr>
            <w:r w:rsidRPr="00A2338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2338C">
            <w:pPr>
              <w:pStyle w:val="BodyText"/>
              <w:rPr>
                <w:lang w:val="en-NZ"/>
              </w:rPr>
            </w:pPr>
            <w:r w:rsidRPr="00A2338C">
              <w:t>Conduct pre-operation checks in accordance with task instructions</w:t>
            </w:r>
          </w:p>
        </w:tc>
      </w:tr>
      <w:tr w:rsidTr="00A233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33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338C">
            <w:pPr>
              <w:pStyle w:val="BodyText"/>
              <w:rPr>
                <w:lang w:val="en-NZ"/>
              </w:rPr>
            </w:pPr>
            <w:r w:rsidRPr="00A2338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2338C">
            <w:pPr>
              <w:pStyle w:val="BodyText"/>
              <w:rPr>
                <w:lang w:val="en-NZ"/>
              </w:rPr>
            </w:pPr>
            <w:r w:rsidRPr="00A2338C">
              <w:t>Test fuel for contamination, record results and quarantine defective product as required</w:t>
            </w:r>
          </w:p>
        </w:tc>
      </w:tr>
      <w:tr w:rsidTr="00A233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33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338C">
            <w:pPr>
              <w:pStyle w:val="BodyText"/>
              <w:rPr>
                <w:lang w:val="en-NZ"/>
              </w:rPr>
            </w:pPr>
            <w:r w:rsidRPr="00A2338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2338C">
            <w:pPr>
              <w:pStyle w:val="BodyText"/>
              <w:rPr>
                <w:lang w:val="en-NZ"/>
              </w:rPr>
            </w:pPr>
            <w:r w:rsidRPr="00A2338C">
              <w:t>Transfer fuel in accordance with task instructions</w:t>
            </w:r>
          </w:p>
        </w:tc>
      </w:tr>
      <w:tr w:rsidTr="00A233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33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338C">
            <w:pPr>
              <w:pStyle w:val="BodyText"/>
              <w:rPr>
                <w:lang w:val="en-NZ"/>
              </w:rPr>
            </w:pPr>
            <w:r w:rsidRPr="00A2338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2338C">
            <w:pPr>
              <w:pStyle w:val="BodyText"/>
              <w:rPr>
                <w:lang w:val="en-NZ"/>
              </w:rPr>
            </w:pPr>
            <w:r w:rsidRPr="00A2338C">
              <w:t>Disconnect TFB from refuelling ship in accordance with operational procedures</w:t>
            </w:r>
          </w:p>
        </w:tc>
      </w:tr>
      <w:tr w:rsidTr="00A233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2338C" w:rsidP="00A2338C">
            <w:pPr>
              <w:pStyle w:val="BodyText"/>
            </w:pPr>
            <w:r w:rsidRPr="00A2338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2338C" w:rsidP="00A2338C">
            <w:pPr>
              <w:pStyle w:val="BodyText"/>
            </w:pPr>
            <w:r w:rsidRPr="00A2338C">
              <w:rPr>
                <w:rStyle w:val="SpecialBold"/>
              </w:rPr>
              <w:t>Issue fuel from TFB system to shore</w:t>
            </w:r>
          </w:p>
        </w:tc>
        <w:tc>
          <w:tcPr>
            <w:tcW w:w="697" w:type="dxa"/>
            <w:tcBorders>
              <w:top w:val="nil"/>
              <w:left w:val="nil"/>
              <w:bottom w:val="nil"/>
              <w:right w:val="nil"/>
            </w:tcBorders>
            <w:tcMar>
              <w:top w:w="0" w:type="dxa"/>
              <w:left w:w="62" w:type="dxa"/>
              <w:bottom w:w="0" w:type="dxa"/>
              <w:right w:w="62" w:type="dxa"/>
            </w:tcMar>
          </w:tcPr>
          <w:p w:rsidR="00000000" w:rsidP="00A2338C">
            <w:pPr>
              <w:pStyle w:val="BodyText"/>
              <w:rPr>
                <w:lang w:val="en-NZ"/>
              </w:rPr>
            </w:pPr>
            <w:r w:rsidRPr="00A2338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2338C">
            <w:pPr>
              <w:pStyle w:val="BodyText"/>
              <w:rPr>
                <w:lang w:val="en-NZ"/>
              </w:rPr>
            </w:pPr>
            <w:r w:rsidRPr="00A2338C">
              <w:t xml:space="preserve">Connect power pack, hydraulic lines and floating pipeline system to manifold </w:t>
            </w:r>
            <w:r w:rsidRPr="00A2338C">
              <w:t>raft</w:t>
            </w:r>
          </w:p>
        </w:tc>
      </w:tr>
      <w:tr w:rsidTr="00A233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33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338C">
            <w:pPr>
              <w:pStyle w:val="BodyText"/>
              <w:rPr>
                <w:lang w:val="en-NZ"/>
              </w:rPr>
            </w:pPr>
            <w:r w:rsidRPr="00A2338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2338C">
            <w:pPr>
              <w:pStyle w:val="BodyText"/>
              <w:rPr>
                <w:lang w:val="en-NZ"/>
              </w:rPr>
            </w:pPr>
            <w:r w:rsidRPr="00A2338C">
              <w:t>Connect TFB to manifold raft</w:t>
            </w:r>
          </w:p>
        </w:tc>
      </w:tr>
      <w:tr w:rsidTr="00A233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33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338C">
            <w:pPr>
              <w:pStyle w:val="BodyText"/>
              <w:rPr>
                <w:lang w:val="en-NZ"/>
              </w:rPr>
            </w:pPr>
            <w:r w:rsidRPr="00A2338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2338C">
            <w:pPr>
              <w:pStyle w:val="BodyText"/>
              <w:rPr>
                <w:lang w:val="en-NZ"/>
              </w:rPr>
            </w:pPr>
            <w:r w:rsidRPr="00A2338C">
              <w:t>Conduct pre-operation fuel transfer checks in accordance with manufacturer specifications and operational procedures</w:t>
            </w:r>
          </w:p>
        </w:tc>
      </w:tr>
      <w:tr w:rsidTr="00A233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33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338C">
            <w:pPr>
              <w:pStyle w:val="BodyText"/>
              <w:rPr>
                <w:lang w:val="en-NZ"/>
              </w:rPr>
            </w:pPr>
            <w:r w:rsidRPr="00A2338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2338C">
            <w:pPr>
              <w:pStyle w:val="BodyText"/>
              <w:rPr>
                <w:lang w:val="en-NZ"/>
              </w:rPr>
            </w:pPr>
            <w:r w:rsidRPr="00A2338C">
              <w:t>Transfer fuel to meet task requirements</w:t>
            </w:r>
          </w:p>
        </w:tc>
      </w:tr>
      <w:tr w:rsidTr="00A233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33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338C">
            <w:pPr>
              <w:pStyle w:val="BodyText"/>
              <w:rPr>
                <w:lang w:val="en-NZ"/>
              </w:rPr>
            </w:pPr>
            <w:r w:rsidRPr="00A2338C">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A2338C">
            <w:pPr>
              <w:pStyle w:val="BodyText"/>
              <w:rPr>
                <w:lang w:val="en-NZ"/>
              </w:rPr>
            </w:pPr>
            <w:r w:rsidRPr="00A2338C">
              <w:t>Monitor petroleum equipment during transfer and report or rectify faults in accordance with emergency response plan</w:t>
            </w:r>
          </w:p>
        </w:tc>
      </w:tr>
      <w:tr w:rsidTr="00A233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33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338C">
            <w:pPr>
              <w:pStyle w:val="BodyText"/>
              <w:rPr>
                <w:lang w:val="en-NZ"/>
              </w:rPr>
            </w:pPr>
            <w:r w:rsidRPr="00A2338C">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A2338C">
            <w:pPr>
              <w:pStyle w:val="BodyText"/>
              <w:rPr>
                <w:lang w:val="en-NZ"/>
              </w:rPr>
            </w:pPr>
            <w:r w:rsidRPr="00A2338C">
              <w:t>Monitor fuel transfer gauges</w:t>
            </w:r>
          </w:p>
        </w:tc>
      </w:tr>
      <w:tr w:rsidTr="00A233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33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338C">
            <w:pPr>
              <w:pStyle w:val="BodyText"/>
              <w:rPr>
                <w:lang w:val="en-NZ"/>
              </w:rPr>
            </w:pPr>
            <w:r w:rsidRPr="00A2338C">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A2338C">
            <w:pPr>
              <w:pStyle w:val="BodyText"/>
              <w:rPr>
                <w:lang w:val="en-NZ"/>
              </w:rPr>
            </w:pPr>
            <w:r w:rsidRPr="00A2338C">
              <w:t>Maintain communication with team members and relevant personnel during fuel transfer operations</w:t>
            </w:r>
          </w:p>
        </w:tc>
      </w:tr>
      <w:tr w:rsidTr="00A233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33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338C">
            <w:pPr>
              <w:pStyle w:val="BodyText"/>
              <w:rPr>
                <w:lang w:val="en-NZ"/>
              </w:rPr>
            </w:pPr>
            <w:r w:rsidRPr="00A2338C">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A2338C">
            <w:pPr>
              <w:pStyle w:val="BodyText"/>
              <w:rPr>
                <w:lang w:val="en-NZ"/>
              </w:rPr>
            </w:pPr>
            <w:r w:rsidRPr="00A2338C">
              <w:t>Disconnect TFB from manifold raft</w:t>
            </w:r>
          </w:p>
        </w:tc>
      </w:tr>
      <w:tr w:rsidTr="00A233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33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338C">
            <w:pPr>
              <w:pStyle w:val="BodyText"/>
              <w:rPr>
                <w:lang w:val="en-NZ"/>
              </w:rPr>
            </w:pPr>
            <w:r w:rsidRPr="00A2338C">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A2338C">
            <w:pPr>
              <w:pStyle w:val="BodyText"/>
              <w:rPr>
                <w:lang w:val="en-NZ"/>
              </w:rPr>
            </w:pPr>
            <w:r w:rsidRPr="00A2338C">
              <w:t>Inspect floating pipeline system with a pipeline inspection gauge in accordance with manufacturer specifications</w:t>
            </w:r>
          </w:p>
        </w:tc>
      </w:tr>
      <w:tr w:rsidTr="00A233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33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338C">
            <w:pPr>
              <w:pStyle w:val="BodyText"/>
              <w:rPr>
                <w:lang w:val="en-NZ"/>
              </w:rPr>
            </w:pPr>
            <w:r w:rsidRPr="00A2338C">
              <w:rPr>
                <w:rStyle w:val="SpecialBold"/>
              </w:rPr>
              <w:t>3.10</w:t>
            </w:r>
          </w:p>
        </w:tc>
        <w:tc>
          <w:tcPr>
            <w:tcW w:w="5592" w:type="dxa"/>
            <w:tcBorders>
              <w:top w:val="nil"/>
              <w:left w:val="nil"/>
              <w:bottom w:val="nil"/>
              <w:right w:val="nil"/>
            </w:tcBorders>
            <w:tcMar>
              <w:top w:w="0" w:type="dxa"/>
              <w:left w:w="62" w:type="dxa"/>
              <w:bottom w:w="0" w:type="dxa"/>
              <w:right w:w="62" w:type="dxa"/>
            </w:tcMar>
          </w:tcPr>
          <w:p w:rsidR="00000000" w:rsidP="00A2338C">
            <w:pPr>
              <w:pStyle w:val="BodyText"/>
              <w:rPr>
                <w:lang w:val="en-NZ"/>
              </w:rPr>
            </w:pPr>
            <w:r w:rsidRPr="00A2338C">
              <w:t>Recover equipment safely</w:t>
            </w:r>
          </w:p>
        </w:tc>
      </w:tr>
      <w:tr w:rsidTr="00A233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2338C" w:rsidP="00A2338C">
            <w:pPr>
              <w:pStyle w:val="BodyText"/>
            </w:pPr>
            <w:r w:rsidRPr="00A2338C">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A2338C" w:rsidP="00A2338C">
            <w:pPr>
              <w:pStyle w:val="BodyText"/>
            </w:pPr>
            <w:r w:rsidRPr="00A2338C">
              <w:rPr>
                <w:rStyle w:val="SpecialBold"/>
              </w:rPr>
              <w:t>Finalise operations</w:t>
            </w:r>
          </w:p>
        </w:tc>
        <w:tc>
          <w:tcPr>
            <w:tcW w:w="697" w:type="dxa"/>
            <w:tcBorders>
              <w:top w:val="nil"/>
              <w:left w:val="nil"/>
              <w:bottom w:val="nil"/>
              <w:right w:val="nil"/>
            </w:tcBorders>
            <w:tcMar>
              <w:top w:w="0" w:type="dxa"/>
              <w:left w:w="62" w:type="dxa"/>
              <w:bottom w:w="0" w:type="dxa"/>
              <w:right w:w="62" w:type="dxa"/>
            </w:tcMar>
          </w:tcPr>
          <w:p w:rsidR="00000000" w:rsidP="00A2338C">
            <w:pPr>
              <w:pStyle w:val="BodyText"/>
              <w:rPr>
                <w:lang w:val="en-NZ"/>
              </w:rPr>
            </w:pPr>
            <w:r w:rsidRPr="00A2338C">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2338C">
            <w:pPr>
              <w:pStyle w:val="BodyText"/>
              <w:rPr>
                <w:lang w:val="en-NZ"/>
              </w:rPr>
            </w:pPr>
            <w:r w:rsidRPr="00A2338C">
              <w:t>Clean and restow TFB system equipmen</w:t>
            </w:r>
            <w:r w:rsidRPr="00A2338C">
              <w:t>t</w:t>
            </w:r>
          </w:p>
        </w:tc>
      </w:tr>
      <w:tr w:rsidTr="00A233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33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338C">
            <w:pPr>
              <w:pStyle w:val="BodyText"/>
              <w:rPr>
                <w:lang w:val="en-NZ"/>
              </w:rPr>
            </w:pPr>
            <w:r w:rsidRPr="00A2338C">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A2338C">
            <w:pPr>
              <w:pStyle w:val="BodyText"/>
              <w:rPr>
                <w:lang w:val="en-NZ"/>
              </w:rPr>
            </w:pPr>
            <w:r w:rsidRPr="00A2338C">
              <w:t>Inspect equipment for damage in accordance with operational procedures</w:t>
            </w:r>
          </w:p>
        </w:tc>
      </w:tr>
      <w:tr w:rsidTr="00A233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33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338C">
            <w:pPr>
              <w:pStyle w:val="BodyText"/>
              <w:rPr>
                <w:lang w:val="en-NZ"/>
              </w:rPr>
            </w:pPr>
            <w:r w:rsidRPr="00A2338C">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A2338C" w:rsidP="00A2338C">
            <w:pPr>
              <w:pStyle w:val="BodyText"/>
            </w:pPr>
            <w:r w:rsidRPr="00A2338C">
              <w:t>Conduct maintenance and minor repairs, as required, ensuring compliance with environmental procedures</w:t>
            </w:r>
          </w:p>
        </w:tc>
      </w:tr>
    </w:tbl>
    <w:p w:rsidR="00000000" w:rsidRPr="00A2338C" w:rsidP="00A2338C">
      <w:pPr>
        <w:pStyle w:val="NoPaddingFontSize1"/>
      </w:pPr>
    </w:p>
    <w:p w:rsidR="00000000" w:rsidRPr="00A2338C" w:rsidP="00A2338C">
      <w:pPr>
        <w:pStyle w:val="AllowPageBreak"/>
      </w:pPr>
    </w:p>
    <w:p w:rsidR="00000000" w:rsidRPr="00A2338C" w:rsidP="00A2338C">
      <w:pPr>
        <w:pStyle w:val="Heading1"/>
      </w:pPr>
      <w:bookmarkStart w:id="7" w:name="O_958502"/>
      <w:bookmarkEnd w:id="7"/>
      <w:r w:rsidRPr="00A2338C">
        <w:t>Foundation Skills</w:t>
      </w:r>
    </w:p>
    <w:tbl>
      <w:tblPr>
        <w:tblW w:w="9497" w:type="dxa"/>
        <w:tblLayout w:type="fixed"/>
        <w:tblCellMar>
          <w:left w:w="62" w:type="dxa"/>
          <w:right w:w="62" w:type="dxa"/>
        </w:tblCellMar>
        <w:tblLook w:val="0000"/>
      </w:tblPr>
      <w:tblGrid>
        <w:gridCol w:w="9497"/>
      </w:tblGrid>
      <w:tr w:rsidTr="00A233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338C" w:rsidP="00A2338C">
            <w:pPr>
              <w:pStyle w:val="BodyText"/>
            </w:pPr>
            <w:r w:rsidRPr="00A2338C">
              <w:t>Foundation skills essential to performance are explicit in the performance criteria of this unit of competency.</w:t>
            </w:r>
          </w:p>
        </w:tc>
      </w:tr>
    </w:tbl>
    <w:p w:rsidR="00000000" w:rsidRPr="00A2338C" w:rsidP="00A2338C">
      <w:pPr>
        <w:pStyle w:val="NoPaddingFontSize1"/>
      </w:pPr>
    </w:p>
    <w:p w:rsidR="00000000" w:rsidRPr="00A2338C" w:rsidP="00A2338C">
      <w:pPr>
        <w:pStyle w:val="AllowPageBreak"/>
      </w:pPr>
    </w:p>
    <w:p w:rsidR="00000000" w:rsidRPr="00A2338C" w:rsidP="00A2338C">
      <w:pPr>
        <w:pStyle w:val="Heading1"/>
      </w:pPr>
      <w:bookmarkStart w:id="8" w:name="O_958503"/>
      <w:bookmarkEnd w:id="8"/>
      <w:r w:rsidRPr="00A2338C">
        <w:t>Range of Conditions</w:t>
      </w:r>
    </w:p>
    <w:tbl>
      <w:tblPr>
        <w:tblW w:w="9497" w:type="dxa"/>
        <w:tblLayout w:type="fixed"/>
        <w:tblCellMar>
          <w:left w:w="62" w:type="dxa"/>
          <w:right w:w="62" w:type="dxa"/>
        </w:tblCellMar>
        <w:tblLook w:val="0000"/>
      </w:tblPr>
      <w:tblGrid>
        <w:gridCol w:w="9497"/>
      </w:tblGrid>
      <w:tr w:rsidTr="00A233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338C" w:rsidP="00A2338C">
            <w:pPr>
              <w:pStyle w:val="BodyText"/>
            </w:pPr>
            <w:r w:rsidRPr="00A2338C">
              <w:t>Range is restricted to essential operating conditions and any other variables essential to the work environment.</w:t>
            </w:r>
          </w:p>
          <w:p w:rsidR="00000000" w:rsidRPr="00A2338C" w:rsidP="00A2338C">
            <w:pPr>
              <w:pStyle w:val="BodyText"/>
            </w:pPr>
            <w:r w:rsidRPr="00A2338C">
              <w:t>Non-essential conditions may be found in the Companion Volume Implementation Guide.</w:t>
            </w:r>
          </w:p>
        </w:tc>
      </w:tr>
    </w:tbl>
    <w:p w:rsidR="00000000" w:rsidRPr="00A2338C" w:rsidP="00A2338C">
      <w:pPr>
        <w:pStyle w:val="NoPaddingFontSize1"/>
      </w:pPr>
    </w:p>
    <w:p w:rsidR="00000000" w:rsidRPr="00A2338C" w:rsidP="00A2338C">
      <w:pPr>
        <w:pStyle w:val="AllowPageBreak"/>
      </w:pPr>
    </w:p>
    <w:p w:rsidR="00000000" w:rsidRPr="00A2338C" w:rsidP="00A2338C">
      <w:pPr>
        <w:pStyle w:val="Heading1"/>
      </w:pPr>
      <w:bookmarkStart w:id="9" w:name="O_958504"/>
      <w:bookmarkEnd w:id="9"/>
      <w:r w:rsidRPr="00A2338C">
        <w:t>Unit Mapping Information</w:t>
      </w:r>
    </w:p>
    <w:tbl>
      <w:tblPr>
        <w:tblW w:w="9497" w:type="dxa"/>
        <w:tblLayout w:type="fixed"/>
        <w:tblCellMar>
          <w:left w:w="62" w:type="dxa"/>
          <w:right w:w="62" w:type="dxa"/>
        </w:tblCellMar>
        <w:tblLook w:val="0000"/>
      </w:tblPr>
      <w:tblGrid>
        <w:gridCol w:w="9497"/>
      </w:tblGrid>
      <w:tr w:rsidTr="00A233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338C" w:rsidP="00A2338C">
            <w:pPr>
              <w:pStyle w:val="BodyText"/>
            </w:pPr>
            <w:r w:rsidRPr="00A2338C">
              <w:t>This unit repla</w:t>
            </w:r>
            <w:r w:rsidRPr="00A2338C">
              <w:t>ces and is equivalent to DEFPE007A Assist in the operation of the towed flexible barge system.</w:t>
            </w:r>
          </w:p>
        </w:tc>
      </w:tr>
    </w:tbl>
    <w:p w:rsidR="00000000" w:rsidRPr="00A2338C" w:rsidP="00A2338C">
      <w:pPr>
        <w:pStyle w:val="NoPaddingFontSize1"/>
      </w:pPr>
    </w:p>
    <w:p w:rsidR="00000000" w:rsidRPr="00A2338C" w:rsidP="00A2338C">
      <w:pPr>
        <w:pStyle w:val="AllowPageBreak"/>
      </w:pPr>
    </w:p>
    <w:p w:rsidR="00000000" w:rsidRPr="00A2338C" w:rsidP="00A2338C">
      <w:pPr>
        <w:pStyle w:val="Heading1"/>
      </w:pPr>
      <w:bookmarkStart w:id="10" w:name="O_958511"/>
      <w:bookmarkEnd w:id="10"/>
      <w:r w:rsidRPr="00A2338C">
        <w:t>Links</w:t>
      </w:r>
    </w:p>
    <w:p w:rsidR="00000000" w:rsidRPr="00A2338C" w:rsidP="000E254D">
      <w:pPr>
        <w:pStyle w:val="BodyText"/>
      </w:pPr>
      <w:r w:rsidRPr="00A2338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359A1">
        <w:rPr>
          <w:rStyle w:val="Hyperlink"/>
        </w:rPr>
        <w:t>https://vetnet.gov.au/Pages/TrainingDocs.aspx?q=6bdbab1e-11ed-4bc9-9cba-9e1a55d4e4a9</w:t>
      </w:r>
      <w:r>
        <w:fldChar w:fldCharType="end"/>
      </w:r>
    </w:p>
    <w:p w:rsidR="00000000" w:rsidRPr="00A2338C" w:rsidP="000E254D">
      <w:pPr>
        <w:pStyle w:val="BodyText"/>
        <w:sectPr w:rsidSect="00A2338C">
          <w:headerReference w:type="default" r:id="rId10"/>
          <w:footerReference w:type="default" r:id="rId11"/>
          <w:pgSz w:w="11908" w:h="16833"/>
          <w:pgMar w:top="1702" w:right="1418" w:bottom="1702" w:left="1418" w:header="992" w:footer="992" w:gutter="0"/>
          <w:cols w:space="720"/>
          <w:noEndnote/>
          <w:docGrid w:linePitch="299"/>
        </w:sectPr>
      </w:pPr>
    </w:p>
    <w:p w:rsidR="00000000" w:rsidRPr="00A2338C" w:rsidP="00A2338C">
      <w:pPr>
        <w:pStyle w:val="SuperHeading"/>
      </w:pPr>
      <w:r w:rsidRPr="00A2338C">
        <w:t>Assessment Requirements for DEFPET007 Assist in the operation of the towed flexible barge system</w:t>
      </w:r>
    </w:p>
    <w:p w:rsidR="00000000" w:rsidRPr="00A2338C" w:rsidP="00A2338C">
      <w:pPr>
        <w:pStyle w:val="Heading1"/>
      </w:pPr>
      <w:bookmarkStart w:id="11" w:name="O_958506"/>
      <w:bookmarkEnd w:id="11"/>
      <w:r w:rsidRPr="00A2338C">
        <w:t>Modification History</w:t>
      </w:r>
    </w:p>
    <w:tbl>
      <w:tblPr>
        <w:tblW w:w="9497" w:type="dxa"/>
        <w:tblLayout w:type="fixed"/>
        <w:tblCellMar>
          <w:left w:w="62" w:type="dxa"/>
          <w:right w:w="62" w:type="dxa"/>
        </w:tblCellMar>
        <w:tblLook w:val="0000"/>
      </w:tblPr>
      <w:tblGrid>
        <w:gridCol w:w="9497"/>
      </w:tblGrid>
      <w:tr w:rsidTr="00A233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338C" w:rsidP="00A2338C">
            <w:pPr>
              <w:pStyle w:val="BodyText"/>
            </w:pPr>
            <w:r w:rsidRPr="00A2338C">
              <w:t>Release 1. This is the first release of this unit of competency in the DEF Defence Training Package.</w:t>
            </w:r>
          </w:p>
        </w:tc>
      </w:tr>
    </w:tbl>
    <w:p w:rsidR="00000000" w:rsidRPr="00A2338C" w:rsidP="00A2338C">
      <w:pPr>
        <w:pStyle w:val="NoPaddingFontSize1"/>
      </w:pPr>
    </w:p>
    <w:p w:rsidR="00000000" w:rsidRPr="00A2338C" w:rsidP="00A2338C">
      <w:pPr>
        <w:pStyle w:val="AllowPageBreak"/>
      </w:pPr>
    </w:p>
    <w:p w:rsidR="00000000" w:rsidRPr="00A2338C" w:rsidP="00A2338C">
      <w:pPr>
        <w:pStyle w:val="Heading1"/>
      </w:pPr>
      <w:bookmarkStart w:id="12" w:name="O_958507"/>
      <w:bookmarkEnd w:id="12"/>
      <w:r w:rsidRPr="00A2338C">
        <w:t>Performance Evidence</w:t>
      </w:r>
    </w:p>
    <w:tbl>
      <w:tblPr>
        <w:tblW w:w="9497" w:type="dxa"/>
        <w:tblLayout w:type="fixed"/>
        <w:tblCellMar>
          <w:left w:w="62" w:type="dxa"/>
          <w:right w:w="62" w:type="dxa"/>
        </w:tblCellMar>
        <w:tblLook w:val="0000"/>
      </w:tblPr>
      <w:tblGrid>
        <w:gridCol w:w="9497"/>
      </w:tblGrid>
      <w:tr w:rsidTr="00A233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338C" w:rsidP="00A2338C">
            <w:pPr>
              <w:pStyle w:val="BodyText"/>
            </w:pPr>
            <w:r w:rsidRPr="00A2338C">
              <w:t>Evidence required to demonstrate competence in this unit must be relevant to and satisfy all of the requirements of the elements and performance criteria on at least one occasion and include:</w:t>
            </w:r>
          </w:p>
          <w:p w:rsidR="00000000" w:rsidRPr="00A2338C" w:rsidP="00A2338C">
            <w:pPr>
              <w:pStyle w:val="ListBullet"/>
            </w:pPr>
            <w:r w:rsidRPr="00A2338C">
              <w:t xml:space="preserve">applying relevant legislation, and organisational policies and </w:t>
            </w:r>
            <w:r w:rsidRPr="00A2338C">
              <w:t>procedures</w:t>
            </w:r>
          </w:p>
          <w:p w:rsidR="00000000" w:rsidRPr="00A2338C" w:rsidP="00A2338C">
            <w:pPr>
              <w:pStyle w:val="ListBullet"/>
            </w:pPr>
            <w:r w:rsidRPr="00A2338C">
              <w:t>applying Australian dangerous goods codes including:</w:t>
            </w:r>
          </w:p>
          <w:p w:rsidR="00000000" w:rsidRPr="00A2338C" w:rsidP="00A2338C">
            <w:pPr>
              <w:pStyle w:val="ListBullet2"/>
            </w:pPr>
            <w:r w:rsidRPr="00A2338C">
              <w:t>segregation and storage requirements</w:t>
            </w:r>
          </w:p>
          <w:p w:rsidR="00000000" w:rsidRPr="00A2338C" w:rsidP="00A2338C">
            <w:pPr>
              <w:pStyle w:val="ListBullet"/>
            </w:pPr>
            <w:r w:rsidRPr="00A2338C">
              <w:t>assisting in the operation of a towed flexible barge (TFB) system and must include one of the following:</w:t>
            </w:r>
          </w:p>
          <w:p w:rsidR="00000000" w:rsidRPr="00A2338C" w:rsidP="00A2338C">
            <w:pPr>
              <w:pStyle w:val="ListBullet2"/>
            </w:pPr>
            <w:r w:rsidRPr="00A2338C">
              <w:t>TFB being refuelled at sea</w:t>
            </w:r>
          </w:p>
          <w:p w:rsidR="00000000" w:rsidRPr="00A2338C" w:rsidP="00A2338C">
            <w:pPr>
              <w:pStyle w:val="ListBullet2"/>
            </w:pPr>
            <w:r w:rsidRPr="00A2338C">
              <w:t>TFB being moored offshore and fuel being transferred to shore via a floating pipeline system</w:t>
            </w:r>
          </w:p>
          <w:p w:rsidR="00000000" w:rsidRPr="00A2338C" w:rsidP="00A2338C">
            <w:pPr>
              <w:pStyle w:val="ListBullet"/>
            </w:pPr>
            <w:r w:rsidRPr="00A2338C">
              <w:t>controlling fuel spills</w:t>
            </w:r>
          </w:p>
          <w:p w:rsidR="00000000" w:rsidRPr="00A2338C" w:rsidP="00A2338C">
            <w:pPr>
              <w:pStyle w:val="ListBullet"/>
            </w:pPr>
            <w:r w:rsidRPr="00A2338C">
              <w:t>identifying hazards, assessing risks and implementing control measures</w:t>
            </w:r>
          </w:p>
          <w:p w:rsidR="00000000" w:rsidRPr="00A2338C" w:rsidP="00A2338C">
            <w:pPr>
              <w:pStyle w:val="ListBullet"/>
            </w:pPr>
            <w:r w:rsidRPr="00A2338C">
              <w:t>interpreting technical diagrams and publications</w:t>
            </w:r>
          </w:p>
          <w:p w:rsidR="00000000" w:rsidRPr="00A2338C" w:rsidP="00A2338C">
            <w:pPr>
              <w:pStyle w:val="ListBullet"/>
            </w:pPr>
            <w:r w:rsidRPr="00A2338C">
              <w:t xml:space="preserve">interpreting fuel </w:t>
            </w:r>
            <w:r w:rsidRPr="00A2338C">
              <w:t>markings and panels</w:t>
            </w:r>
          </w:p>
          <w:p w:rsidR="00000000" w:rsidRPr="00A2338C" w:rsidP="00A2338C">
            <w:pPr>
              <w:pStyle w:val="ListBullet"/>
            </w:pPr>
            <w:r w:rsidRPr="00A2338C">
              <w:t>operating fuel pumping and discharge systems</w:t>
            </w:r>
          </w:p>
          <w:p w:rsidR="00000000" w:rsidRPr="00A2338C" w:rsidP="00A2338C">
            <w:pPr>
              <w:pStyle w:val="ListBullet"/>
            </w:pPr>
            <w:r w:rsidRPr="00A2338C">
              <w:t>dealing with difficulties encountered during assembly</w:t>
            </w:r>
          </w:p>
          <w:p w:rsidR="00000000" w:rsidRPr="00A2338C" w:rsidP="00A2338C">
            <w:pPr>
              <w:pStyle w:val="ListBullet"/>
            </w:pPr>
            <w:r w:rsidRPr="00A2338C">
              <w:t>selecting and fitting appropriate personal protective equipment</w:t>
            </w:r>
          </w:p>
          <w:p w:rsidR="00000000" w:rsidRPr="00A2338C" w:rsidP="00A2338C">
            <w:pPr>
              <w:pStyle w:val="ListBullet"/>
            </w:pPr>
            <w:r w:rsidRPr="00A2338C">
              <w:t>implementing environmentally sustainable work practices</w:t>
            </w:r>
          </w:p>
          <w:p w:rsidR="00000000" w:rsidRPr="00A2338C" w:rsidP="00A2338C">
            <w:pPr>
              <w:pStyle w:val="ListBullet"/>
            </w:pPr>
            <w:r w:rsidRPr="00A2338C">
              <w:t>responding to eme</w:t>
            </w:r>
            <w:r w:rsidRPr="00A2338C">
              <w:t>rgencies in accordance with emergency response plans</w:t>
            </w:r>
          </w:p>
          <w:p w:rsidR="00000000" w:rsidRPr="00A2338C" w:rsidP="00A2338C">
            <w:pPr>
              <w:pStyle w:val="ListBullet"/>
            </w:pPr>
            <w:r w:rsidRPr="00A2338C">
              <w:t>pressuring pipeline system with air</w:t>
            </w:r>
          </w:p>
          <w:p w:rsidR="00000000" w:rsidRPr="00A2338C" w:rsidP="00A2338C">
            <w:pPr>
              <w:pStyle w:val="ListBullet"/>
            </w:pPr>
            <w:r w:rsidRPr="00A2338C">
              <w:t>testing for leaks</w:t>
            </w:r>
          </w:p>
          <w:p w:rsidR="00000000" w:rsidRPr="00A2338C" w:rsidP="00A2338C">
            <w:pPr>
              <w:pStyle w:val="ListBullet"/>
            </w:pPr>
            <w:r w:rsidRPr="00A2338C">
              <w:t>handling cleaning chemicals safely.</w:t>
            </w:r>
          </w:p>
        </w:tc>
      </w:tr>
    </w:tbl>
    <w:p w:rsidR="00000000" w:rsidRPr="00A2338C" w:rsidP="00A2338C">
      <w:pPr>
        <w:pStyle w:val="NoPaddingFontSize1"/>
      </w:pPr>
    </w:p>
    <w:p w:rsidR="00000000" w:rsidRPr="00A2338C" w:rsidP="00A2338C">
      <w:pPr>
        <w:pStyle w:val="AllowPageBreak"/>
      </w:pPr>
    </w:p>
    <w:p w:rsidR="00000000" w:rsidRPr="00A2338C" w:rsidP="00A2338C">
      <w:pPr>
        <w:pStyle w:val="Heading1"/>
      </w:pPr>
      <w:bookmarkStart w:id="13" w:name="O_958508"/>
      <w:bookmarkEnd w:id="13"/>
      <w:r w:rsidRPr="00A2338C">
        <w:t>Knowledge Evidence</w:t>
      </w:r>
    </w:p>
    <w:tbl>
      <w:tblPr>
        <w:tblW w:w="9497" w:type="dxa"/>
        <w:tblLayout w:type="fixed"/>
        <w:tblCellMar>
          <w:left w:w="62" w:type="dxa"/>
          <w:right w:w="62" w:type="dxa"/>
        </w:tblCellMar>
        <w:tblLook w:val="0000"/>
      </w:tblPr>
      <w:tblGrid>
        <w:gridCol w:w="9497"/>
      </w:tblGrid>
      <w:tr w:rsidTr="00A233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338C" w:rsidP="00A2338C">
            <w:pPr>
              <w:pStyle w:val="BodyText"/>
            </w:pPr>
            <w:r w:rsidRPr="00A2338C">
              <w:t>Evidence required to demonstrate competence in this unit must be relevant to and satisfy all of the requirements of the elements and performance criteria and include knowledge of:</w:t>
            </w:r>
          </w:p>
          <w:p w:rsidR="00000000" w:rsidRPr="00A2338C" w:rsidP="00A2338C">
            <w:pPr>
              <w:pStyle w:val="ListBullet"/>
            </w:pPr>
            <w:r w:rsidRPr="00A2338C">
              <w:t>Australian dangerous goods codes including:</w:t>
            </w:r>
          </w:p>
          <w:p w:rsidR="00000000" w:rsidRPr="00A2338C" w:rsidP="00A2338C">
            <w:pPr>
              <w:pStyle w:val="ListBullet2"/>
            </w:pPr>
            <w:r w:rsidRPr="00A2338C">
              <w:t>segregation and storage requir</w:t>
            </w:r>
            <w:r w:rsidRPr="00A2338C">
              <w:t>ements</w:t>
            </w:r>
          </w:p>
          <w:p w:rsidR="00000000" w:rsidRPr="00A2338C" w:rsidP="00A2338C">
            <w:pPr>
              <w:pStyle w:val="ListBullet"/>
            </w:pPr>
            <w:r w:rsidRPr="00A2338C">
              <w:t>cleaning procedures and use of cleaning agents</w:t>
            </w:r>
          </w:p>
          <w:p w:rsidR="00000000" w:rsidRPr="00A2338C" w:rsidP="00A2338C">
            <w:pPr>
              <w:pStyle w:val="ListBullet"/>
            </w:pPr>
            <w:r w:rsidRPr="00A2338C">
              <w:t>dangerous goods handling procedures</w:t>
            </w:r>
          </w:p>
          <w:p w:rsidR="00000000" w:rsidRPr="00A2338C" w:rsidP="00A2338C">
            <w:pPr>
              <w:pStyle w:val="ListBullet"/>
            </w:pPr>
            <w:r w:rsidRPr="00A2338C">
              <w:t>emergency response plan</w:t>
            </w:r>
          </w:p>
          <w:p w:rsidR="00000000" w:rsidRPr="00A2338C" w:rsidP="00A2338C">
            <w:pPr>
              <w:pStyle w:val="ListBullet"/>
            </w:pPr>
            <w:r w:rsidRPr="00A2338C">
              <w:t>functions and responsibilities of team members</w:t>
            </w:r>
          </w:p>
          <w:p w:rsidR="00000000" w:rsidRPr="00A2338C" w:rsidP="00A2338C">
            <w:pPr>
              <w:pStyle w:val="ListBullet"/>
            </w:pPr>
            <w:r w:rsidRPr="00A2338C">
              <w:t>hazard control methods associated with fuel products</w:t>
            </w:r>
          </w:p>
          <w:p w:rsidR="00000000" w:rsidRPr="00A2338C" w:rsidP="00A2338C">
            <w:pPr>
              <w:pStyle w:val="ListBullet"/>
            </w:pPr>
            <w:r w:rsidRPr="00A2338C">
              <w:t>maintenance procedures for fuel storage mediums</w:t>
            </w:r>
          </w:p>
          <w:p w:rsidR="00000000" w:rsidRPr="00A2338C" w:rsidP="00A2338C">
            <w:pPr>
              <w:pStyle w:val="ListBullet"/>
            </w:pPr>
            <w:r w:rsidRPr="00A2338C">
              <w:t>relevant maritime dangerous goods marine orders</w:t>
            </w:r>
          </w:p>
          <w:p w:rsidR="00000000" w:rsidRPr="00A2338C" w:rsidP="00A2338C">
            <w:pPr>
              <w:pStyle w:val="ListBullet"/>
            </w:pPr>
            <w:r w:rsidRPr="00A2338C">
              <w:t>relevant legislation, and organisational policies and procedures</w:t>
            </w:r>
          </w:p>
          <w:p w:rsidR="00000000" w:rsidRPr="00A2338C" w:rsidP="00A2338C">
            <w:pPr>
              <w:pStyle w:val="ListBullet"/>
            </w:pPr>
            <w:r w:rsidRPr="00A2338C">
              <w:t>relevant work health and safety, pollution control legislation and policies</w:t>
            </w:r>
          </w:p>
          <w:p w:rsidR="00000000" w:rsidRPr="00A2338C" w:rsidP="00A2338C">
            <w:pPr>
              <w:pStyle w:val="ListBullet"/>
            </w:pPr>
            <w:r w:rsidRPr="00A2338C">
              <w:t>TFB system.</w:t>
            </w:r>
          </w:p>
        </w:tc>
      </w:tr>
    </w:tbl>
    <w:p w:rsidR="00000000" w:rsidRPr="00A2338C" w:rsidP="00A2338C">
      <w:pPr>
        <w:pStyle w:val="NoPaddingFontSize1"/>
      </w:pPr>
    </w:p>
    <w:p w:rsidR="00000000" w:rsidRPr="00A2338C" w:rsidP="00A2338C">
      <w:pPr>
        <w:pStyle w:val="AllowPageBreak"/>
      </w:pPr>
    </w:p>
    <w:p w:rsidR="00000000" w:rsidRPr="00A2338C" w:rsidP="00A2338C">
      <w:pPr>
        <w:pStyle w:val="Heading1"/>
      </w:pPr>
      <w:bookmarkStart w:id="14" w:name="O_958509"/>
      <w:bookmarkEnd w:id="14"/>
      <w:r w:rsidRPr="00A2338C">
        <w:t>Assessment Conditions</w:t>
      </w:r>
    </w:p>
    <w:tbl>
      <w:tblPr>
        <w:tblW w:w="9497" w:type="dxa"/>
        <w:tblLayout w:type="fixed"/>
        <w:tblCellMar>
          <w:left w:w="62" w:type="dxa"/>
          <w:right w:w="62" w:type="dxa"/>
        </w:tblCellMar>
        <w:tblLook w:val="0000"/>
      </w:tblPr>
      <w:tblGrid>
        <w:gridCol w:w="9497"/>
      </w:tblGrid>
      <w:tr w:rsidTr="00A233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338C" w:rsidP="00A2338C">
            <w:pPr>
              <w:pStyle w:val="BodyText"/>
            </w:pPr>
            <w:r w:rsidRPr="00A2338C">
              <w:t>As a minimum, assessors must satisfy applicable regulatory requirements, which include requirements in the Standards for Registered Training Organisations current at the time of assessment.</w:t>
            </w:r>
          </w:p>
          <w:p w:rsidR="00000000" w:rsidRPr="00A2338C" w:rsidP="00A2338C">
            <w:pPr>
              <w:pStyle w:val="BodyText"/>
            </w:pPr>
            <w:r w:rsidRPr="00A2338C">
              <w:t>As a minimum, assessment mus</w:t>
            </w:r>
            <w:r w:rsidRPr="00A2338C">
              <w:t>t satisfy applicable regulatory requirements, which include requirements in the Standards for Registered Training Organisations current at the time of assessment.</w:t>
            </w:r>
          </w:p>
          <w:p w:rsidR="00000000" w:rsidRPr="00A2338C" w:rsidP="00A2338C">
            <w:pPr>
              <w:pStyle w:val="BodyText"/>
            </w:pPr>
            <w:r w:rsidRPr="00A2338C">
              <w:t>Assessment processes and techniques must be appropriate to the language, literacy and numerac</w:t>
            </w:r>
            <w:r w:rsidRPr="00A2338C">
              <w:t>y requirements of the work being performed and the needs of the candidate.</w:t>
            </w:r>
          </w:p>
          <w:p w:rsidR="00000000" w:rsidRPr="00A2338C" w:rsidP="00A2338C">
            <w:pPr>
              <w:pStyle w:val="BodyText"/>
            </w:pPr>
            <w:r w:rsidRPr="00A2338C">
              <w:t xml:space="preserve">Assessment must occur in workplace operational situations, where it is appropriate to do so; where this is not appropriate, assessment must occur in simulated workplace operational </w:t>
            </w:r>
            <w:r w:rsidRPr="00A2338C">
              <w:t>situations that replicate workplace conditions.</w:t>
            </w:r>
          </w:p>
          <w:p w:rsidR="00000000" w:rsidRPr="00A2338C" w:rsidP="00A2338C">
            <w:pPr>
              <w:pStyle w:val="BodyText"/>
            </w:pPr>
            <w:r w:rsidRPr="00A2338C">
              <w:t>Resources for assessment must include access to:</w:t>
            </w:r>
          </w:p>
          <w:p w:rsidR="00000000" w:rsidRPr="00A2338C" w:rsidP="00A2338C">
            <w:pPr>
              <w:pStyle w:val="ListBullet"/>
            </w:pPr>
            <w:r w:rsidRPr="00A2338C">
              <w:t>a range of relevant exercises, case studies and/or other simulations</w:t>
            </w:r>
          </w:p>
          <w:p w:rsidR="00000000" w:rsidRPr="00A2338C" w:rsidP="00A2338C">
            <w:pPr>
              <w:pStyle w:val="ListBullet"/>
            </w:pPr>
            <w:r w:rsidRPr="00A2338C">
              <w:t>relevant and appropriate materials, tools, safety equipment and personal protective equip</w:t>
            </w:r>
            <w:r w:rsidRPr="00A2338C">
              <w:t>ment currently used in industry including:</w:t>
            </w:r>
          </w:p>
          <w:p w:rsidR="00000000" w:rsidRPr="00A2338C" w:rsidP="00A2338C">
            <w:pPr>
              <w:pStyle w:val="ListBullet2"/>
            </w:pPr>
            <w:r w:rsidRPr="00A2338C">
              <w:t>TFB system, discharge system and associated equipment</w:t>
            </w:r>
          </w:p>
          <w:p w:rsidR="00000000" w:rsidRPr="00A2338C" w:rsidP="00A2338C">
            <w:pPr>
              <w:pStyle w:val="ListBullet2"/>
            </w:pPr>
            <w:r w:rsidRPr="00A2338C">
              <w:t>bulk fuel tankers or simulated platform</w:t>
            </w:r>
          </w:p>
          <w:p w:rsidR="00000000" w:rsidRPr="00A2338C" w:rsidP="00A2338C">
            <w:pPr>
              <w:pStyle w:val="ListBullet2"/>
            </w:pPr>
            <w:r w:rsidRPr="00A2338C">
              <w:t>suitable fuel products</w:t>
            </w:r>
          </w:p>
          <w:p w:rsidR="00000000" w:rsidRPr="00A2338C" w:rsidP="00A2338C">
            <w:pPr>
              <w:pStyle w:val="ListBullet2"/>
            </w:pPr>
            <w:r w:rsidRPr="00A2338C">
              <w:t>specific workplace operating procedures and publications</w:t>
            </w:r>
          </w:p>
          <w:p w:rsidR="00000000" w:rsidRPr="00A2338C" w:rsidP="00A2338C">
            <w:pPr>
              <w:pStyle w:val="ListBullet"/>
            </w:pPr>
            <w:r w:rsidRPr="00A2338C">
              <w:t>applicable documentation including operational procedures, regulations, codes of practice and operation manuals.</w:t>
            </w:r>
          </w:p>
        </w:tc>
      </w:tr>
    </w:tbl>
    <w:p w:rsidR="00000000" w:rsidRPr="00A2338C" w:rsidP="00A2338C">
      <w:pPr>
        <w:pStyle w:val="NoPaddingFontSize1"/>
      </w:pPr>
    </w:p>
    <w:p w:rsidR="00000000" w:rsidRPr="00A2338C" w:rsidP="00A2338C">
      <w:pPr>
        <w:pStyle w:val="AllowPageBreak"/>
      </w:pPr>
    </w:p>
    <w:p w:rsidR="00000000" w:rsidRPr="00A2338C" w:rsidP="00A2338C">
      <w:pPr>
        <w:pStyle w:val="Heading1"/>
      </w:pPr>
      <w:bookmarkStart w:id="15" w:name="O_958512"/>
      <w:bookmarkEnd w:id="15"/>
      <w:r w:rsidRPr="00A2338C">
        <w:t>Links</w:t>
      </w:r>
    </w:p>
    <w:p w:rsidR="00000000" w:rsidRPr="00A2338C" w:rsidP="000E254D">
      <w:pPr>
        <w:pStyle w:val="BodyText"/>
      </w:pPr>
      <w:r w:rsidRPr="00A2338C">
        <w:t xml:space="preserve">Companion Volume implementation guides are found </w:t>
      </w:r>
      <w:r w:rsidRPr="00A2338C">
        <w:t xml:space="preserve">in VETNet - </w:t>
      </w:r>
      <w:r>
        <w:fldChar w:fldCharType="begin"/>
      </w:r>
      <w:r>
        <w:instrText xml:space="preserve"> HYPERLINK "https://vetnet.gov.au/Pages/TrainingDocs.aspx?q=6bdbab1e-11ed-4bc9-9cba-9e1a55d4e4a9" </w:instrText>
      </w:r>
      <w:r>
        <w:fldChar w:fldCharType="separate"/>
      </w:r>
      <w:r w:rsidRPr="00F359A1">
        <w:rPr>
          <w:rStyle w:val="Hyperlink"/>
        </w:rPr>
        <w:t>https://vetnet.gov.au/Pages/TrainingDocs.aspx?q=6bdbab1e-11ed-4bc9-9cba-9e1a55d4e4a9</w:t>
      </w:r>
      <w:r>
        <w:fldChar w:fldCharType="end"/>
      </w:r>
    </w:p>
    <w:p w:rsidR="00000000" w:rsidRPr="00A2338C" w:rsidP="00A2338C"/>
    <w:sectPr w:rsidSect="00A2338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3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38C" w:rsidRPr="000E254D" w:rsidP="000E25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3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54D" w:rsidP="00A233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254D" w:rsidP="00A2338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E254D" w:rsidP="00A2338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38C" w:rsidP="00A2338C">
    <w:pPr>
      <w:pStyle w:val="Footer"/>
      <w:framePr w:wrap="around"/>
    </w:pPr>
    <w:r>
      <w:fldChar w:fldCharType="begin"/>
    </w:r>
    <w:r>
      <w:instrText xml:space="preserve"> DOCPROPERTY  Subject  \* MERGEFORMAT </w:instrText>
    </w:r>
    <w:r>
      <w:fldChar w:fldCharType="separate"/>
    </w:r>
    <w:r w:rsidR="000E254D">
      <w:t>Approved</w:t>
    </w:r>
    <w:r w:rsidR="000E254D">
      <w:fldChar w:fldCharType="end"/>
    </w:r>
    <w:r>
      <w:tab/>
      <w:t xml:space="preserve">Page </w:t>
    </w:r>
    <w:r>
      <w:fldChar w:fldCharType="begin"/>
    </w:r>
    <w:r>
      <w:instrText xml:space="preserve"> PAGE  \* Arabic  \* MERGEFORMAT </w:instrText>
    </w:r>
    <w:r>
      <w:fldChar w:fldCharType="separate"/>
    </w:r>
    <w:r w:rsidR="000E254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254D">
      <w:rPr>
        <w:noProof/>
      </w:rPr>
      <w:t>4</w:t>
    </w:r>
    <w:r>
      <w:rPr>
        <w:noProof/>
      </w:rPr>
      <w:fldChar w:fldCharType="end"/>
    </w:r>
  </w:p>
  <w:p w:rsidR="00A2338C" w:rsidP="00A2338C">
    <w:pPr>
      <w:pStyle w:val="Footer"/>
      <w:framePr w:wrap="around"/>
    </w:pPr>
    <w:r>
      <w:t xml:space="preserve">© Commonwealth of Australia, </w:t>
    </w:r>
    <w:r>
      <w:fldChar w:fldCharType="begin"/>
    </w:r>
    <w:r>
      <w:instrText xml:space="preserve"> DATE  \@ "yyyy"  \* MERGEFORMAT </w:instrText>
    </w:r>
    <w:r>
      <w:fldChar w:fldCharType="separate"/>
    </w:r>
    <w:r w:rsidR="000E254D">
      <w:rPr>
        <w:noProof/>
      </w:rPr>
      <w:t>2025</w:t>
    </w:r>
    <w:r>
      <w:fldChar w:fldCharType="end"/>
    </w:r>
    <w:r>
      <w:tab/>
    </w:r>
    <w:r>
      <w:fldChar w:fldCharType="begin"/>
    </w:r>
    <w:r>
      <w:instrText xml:space="preserve"> DOCPROPERTY  Author  \* MERGEFORMAT </w:instrText>
    </w:r>
    <w:r>
      <w:fldChar w:fldCharType="separate"/>
    </w:r>
    <w:r w:rsidR="000E254D">
      <w:t>Public Skills Australia</w:t>
    </w:r>
    <w:r w:rsidR="000E254D">
      <w:fldChar w:fldCharType="end"/>
    </w:r>
  </w:p>
  <w:p w:rsidR="00A2338C" w:rsidP="00A233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3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5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338C" w:rsidRPr="000E254D" w:rsidP="000E25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3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54D" w:rsidRPr="002D2AF8" w:rsidP="00A2338C">
    <w:pPr>
      <w:pStyle w:val="Header"/>
      <w:framePr w:wrap="around"/>
    </w:pPr>
    <w:r>
      <w:fldChar w:fldCharType="begin"/>
    </w:r>
    <w:r>
      <w:instrText xml:space="preserve"> TITLE   \* MERGEFORMAT </w:instrText>
    </w:r>
    <w:r>
      <w:fldChar w:fldCharType="separate"/>
    </w:r>
    <w:r>
      <w:t>DEFPET007 Assist in the operation of the towed flexible barge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E254D" w:rsidP="00A2338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38C" w:rsidRPr="002D2AF8" w:rsidP="00A2338C">
    <w:pPr>
      <w:pStyle w:val="Header"/>
      <w:framePr w:wrap="around"/>
    </w:pPr>
    <w:r>
      <w:fldChar w:fldCharType="begin"/>
    </w:r>
    <w:r>
      <w:instrText xml:space="preserve"> TITLE   \* MERGEFORMAT </w:instrText>
    </w:r>
    <w:r>
      <w:fldChar w:fldCharType="separate"/>
    </w:r>
    <w:r w:rsidR="000E254D">
      <w:t>DEFPET007 Assist in the operation of the towed flexible barge system</w:t>
    </w:r>
    <w:r w:rsidR="000E254D">
      <w:fldChar w:fldCharType="end"/>
    </w:r>
    <w:r>
      <w:tab/>
      <w:t xml:space="preserve">Date this document was generated: </w:t>
    </w:r>
    <w:r>
      <w:fldChar w:fldCharType="begin"/>
    </w:r>
    <w:r>
      <w:instrText xml:space="preserve"> CREATEDATE  \@ "d MMMM yyyy"  \* MERGEFORMAT </w:instrText>
    </w:r>
    <w:r>
      <w:fldChar w:fldCharType="separate"/>
    </w:r>
    <w:r w:rsidR="000E254D">
      <w:rPr>
        <w:noProof/>
      </w:rPr>
      <w:t>2 March 2025</w:t>
    </w:r>
    <w:r>
      <w:fldChar w:fldCharType="end"/>
    </w:r>
  </w:p>
  <w:p w:rsidR="00A2338C" w:rsidP="00A233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B2D5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A268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4A4D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3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338C"/>
    <w:pPr>
      <w:spacing w:before="360" w:after="60"/>
      <w:outlineLvl w:val="0"/>
    </w:pPr>
    <w:rPr>
      <w:sz w:val="32"/>
    </w:rPr>
  </w:style>
  <w:style w:type="paragraph" w:styleId="Heading2">
    <w:name w:val="heading 2"/>
    <w:basedOn w:val="HeadingBase"/>
    <w:next w:val="BodyText"/>
    <w:link w:val="Heading2Char"/>
    <w:qFormat/>
    <w:rsid w:val="00A2338C"/>
    <w:pPr>
      <w:keepLines/>
      <w:spacing w:before="240" w:after="120"/>
      <w:outlineLvl w:val="1"/>
    </w:pPr>
    <w:rPr>
      <w:sz w:val="28"/>
      <w:szCs w:val="40"/>
    </w:rPr>
  </w:style>
  <w:style w:type="paragraph" w:styleId="Heading3">
    <w:name w:val="heading 3"/>
    <w:basedOn w:val="HeadingBase"/>
    <w:next w:val="BodyText"/>
    <w:link w:val="Heading3Char"/>
    <w:qFormat/>
    <w:rsid w:val="00A2338C"/>
    <w:pPr>
      <w:spacing w:before="180" w:after="120"/>
      <w:outlineLvl w:val="2"/>
    </w:pPr>
    <w:rPr>
      <w:spacing w:val="-10"/>
      <w:kern w:val="32"/>
    </w:rPr>
  </w:style>
  <w:style w:type="paragraph" w:styleId="Heading4">
    <w:name w:val="heading 4"/>
    <w:basedOn w:val="HeadingBase"/>
    <w:next w:val="BodyText"/>
    <w:link w:val="Heading4Char"/>
    <w:qFormat/>
    <w:rsid w:val="00A2338C"/>
    <w:pPr>
      <w:spacing w:before="160" w:after="120"/>
      <w:outlineLvl w:val="3"/>
    </w:pPr>
    <w:rPr>
      <w:sz w:val="22"/>
    </w:rPr>
  </w:style>
  <w:style w:type="paragraph" w:styleId="Heading5">
    <w:name w:val="heading 5"/>
    <w:basedOn w:val="HeadingBase"/>
    <w:next w:val="Normal"/>
    <w:link w:val="Heading5Char"/>
    <w:qFormat/>
    <w:rsid w:val="00A2338C"/>
    <w:pPr>
      <w:spacing w:before="80"/>
      <w:outlineLvl w:val="4"/>
    </w:pPr>
    <w:rPr>
      <w:color w:val="918585"/>
      <w:sz w:val="20"/>
    </w:rPr>
  </w:style>
  <w:style w:type="paragraph" w:styleId="Heading6">
    <w:name w:val="heading 6"/>
    <w:basedOn w:val="HeadingBase"/>
    <w:next w:val="Normal"/>
    <w:link w:val="Heading6Char"/>
    <w:qFormat/>
    <w:rsid w:val="00A2338C"/>
    <w:pPr>
      <w:spacing w:before="60"/>
      <w:outlineLvl w:val="5"/>
    </w:pPr>
    <w:rPr>
      <w:color w:val="918585"/>
      <w:sz w:val="20"/>
    </w:rPr>
  </w:style>
  <w:style w:type="paragraph" w:styleId="Heading7">
    <w:name w:val="heading 7"/>
    <w:basedOn w:val="Normal"/>
    <w:next w:val="Normal"/>
    <w:link w:val="Heading7Char"/>
    <w:qFormat/>
    <w:rsid w:val="00A2338C"/>
    <w:pPr>
      <w:ind w:left="720"/>
      <w:outlineLvl w:val="6"/>
    </w:pPr>
    <w:rPr>
      <w:i/>
    </w:rPr>
  </w:style>
  <w:style w:type="paragraph" w:styleId="Heading8">
    <w:name w:val="heading 8"/>
    <w:basedOn w:val="Normal"/>
    <w:next w:val="Normal"/>
    <w:link w:val="Heading8Char"/>
    <w:qFormat/>
    <w:rsid w:val="00A2338C"/>
    <w:pPr>
      <w:ind w:left="720"/>
      <w:outlineLvl w:val="7"/>
    </w:pPr>
    <w:rPr>
      <w:i/>
    </w:rPr>
  </w:style>
  <w:style w:type="paragraph" w:styleId="Heading9">
    <w:name w:val="heading 9"/>
    <w:basedOn w:val="Normal"/>
    <w:next w:val="Normal"/>
    <w:link w:val="Heading9Char"/>
    <w:qFormat/>
    <w:rsid w:val="00A2338C"/>
    <w:pPr>
      <w:ind w:left="720"/>
      <w:outlineLvl w:val="8"/>
    </w:pPr>
    <w:rPr>
      <w:i/>
    </w:rPr>
  </w:style>
  <w:style w:type="character" w:default="1" w:styleId="DefaultParagraphFont">
    <w:name w:val="Default Paragraph Font"/>
    <w:uiPriority w:val="1"/>
    <w:unhideWhenUsed/>
    <w:rsid w:val="00A233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338C"/>
  </w:style>
  <w:style w:type="character" w:customStyle="1" w:styleId="Heading1Char">
    <w:name w:val="Heading 1 Char"/>
    <w:basedOn w:val="DefaultParagraphFont"/>
    <w:link w:val="Heading1"/>
    <w:rsid w:val="00A2338C"/>
    <w:rPr>
      <w:rFonts w:ascii="Times New Roman" w:eastAsia="Times New Roman" w:hAnsi="Times New Roman" w:cs="Times New Roman"/>
      <w:b/>
      <w:sz w:val="32"/>
      <w:szCs w:val="20"/>
      <w:lang w:eastAsia="en-US"/>
    </w:rPr>
  </w:style>
  <w:style w:type="paragraph" w:styleId="BodyText">
    <w:name w:val="Body Text"/>
    <w:basedOn w:val="Normal"/>
    <w:link w:val="BodyTextChar"/>
    <w:rsid w:val="00A233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338C"/>
    <w:rPr>
      <w:rFonts w:ascii="Times New Roman" w:eastAsia="Times New Roman" w:hAnsi="Times New Roman" w:cs="Times New Roman"/>
      <w:sz w:val="24"/>
      <w:lang w:eastAsia="en-US"/>
    </w:rPr>
  </w:style>
  <w:style w:type="paragraph" w:styleId="ListBullet">
    <w:name w:val="List Bullet"/>
    <w:basedOn w:val="List"/>
    <w:rsid w:val="00A2338C"/>
    <w:pPr>
      <w:numPr>
        <w:numId w:val="12"/>
      </w:numPr>
      <w:tabs>
        <w:tab w:val="clear" w:pos="340"/>
      </w:tabs>
      <w:spacing w:before="40" w:after="40"/>
    </w:pPr>
  </w:style>
  <w:style w:type="character" w:customStyle="1" w:styleId="SpecialBold">
    <w:name w:val="Special Bold"/>
    <w:basedOn w:val="DefaultParagraphFont"/>
    <w:rsid w:val="00A2338C"/>
    <w:rPr>
      <w:b/>
      <w:spacing w:val="0"/>
    </w:rPr>
  </w:style>
  <w:style w:type="paragraph" w:styleId="ListBullet2">
    <w:name w:val="List Bullet 2"/>
    <w:basedOn w:val="List2"/>
    <w:rsid w:val="00A2338C"/>
    <w:pPr>
      <w:numPr>
        <w:numId w:val="13"/>
      </w:numPr>
      <w:tabs>
        <w:tab w:val="clear" w:pos="680"/>
      </w:tabs>
    </w:pPr>
  </w:style>
  <w:style w:type="paragraph" w:customStyle="1" w:styleId="SuperHeading">
    <w:name w:val="SuperHeading"/>
    <w:basedOn w:val="Normal"/>
    <w:rsid w:val="00A2338C"/>
    <w:pPr>
      <w:spacing w:before="240" w:after="120"/>
      <w:outlineLvl w:val="0"/>
    </w:pPr>
    <w:rPr>
      <w:rFonts w:ascii="Times New Roman" w:hAnsi="Times New Roman"/>
      <w:b/>
      <w:sz w:val="32"/>
    </w:rPr>
  </w:style>
  <w:style w:type="paragraph" w:customStyle="1" w:styleId="AllowPageBreak">
    <w:name w:val="AllowPageBreak"/>
    <w:rsid w:val="00A2338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233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33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33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33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33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33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33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338C"/>
    <w:rPr>
      <w:rFonts w:ascii="Courier New" w:eastAsia="Times New Roman" w:hAnsi="Courier New" w:cs="Times New Roman"/>
      <w:i/>
      <w:szCs w:val="20"/>
      <w:lang w:eastAsia="en-US"/>
    </w:rPr>
  </w:style>
  <w:style w:type="paragraph" w:customStyle="1" w:styleId="HeadingBase">
    <w:name w:val="Heading Base"/>
    <w:rsid w:val="00A233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338C"/>
    <w:pPr>
      <w:tabs>
        <w:tab w:val="right" w:leader="dot" w:pos="9072"/>
      </w:tabs>
      <w:ind w:left="567"/>
    </w:pPr>
    <w:rPr>
      <w:szCs w:val="22"/>
    </w:rPr>
  </w:style>
  <w:style w:type="paragraph" w:customStyle="1" w:styleId="TOCBase">
    <w:name w:val="TOC Base"/>
    <w:rsid w:val="00A233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338C"/>
    <w:pPr>
      <w:tabs>
        <w:tab w:val="right" w:leader="dot" w:pos="9072"/>
      </w:tabs>
      <w:spacing w:before="40" w:after="40"/>
      <w:ind w:left="284"/>
    </w:pPr>
    <w:rPr>
      <w:rFonts w:ascii="Times New Roman" w:hAnsi="Times New Roman"/>
    </w:rPr>
  </w:style>
  <w:style w:type="paragraph" w:styleId="TOC1">
    <w:name w:val="toc 1"/>
    <w:basedOn w:val="TOCBase"/>
    <w:next w:val="Normal"/>
    <w:rsid w:val="00A233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33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338C"/>
    <w:rPr>
      <w:rFonts w:ascii="Times New Roman" w:eastAsia="Times New Roman" w:hAnsi="Times New Roman" w:cs="Times New Roman"/>
      <w:sz w:val="16"/>
      <w:lang w:eastAsia="en-US"/>
    </w:rPr>
  </w:style>
  <w:style w:type="paragraph" w:styleId="Title">
    <w:name w:val="Title"/>
    <w:basedOn w:val="HeadingBase"/>
    <w:link w:val="TitleChar"/>
    <w:qFormat/>
    <w:rsid w:val="00A2338C"/>
    <w:pPr>
      <w:spacing w:before="5040"/>
      <w:jc w:val="center"/>
    </w:pPr>
    <w:rPr>
      <w:sz w:val="48"/>
      <w:szCs w:val="72"/>
      <w:lang w:val="en-US"/>
    </w:rPr>
  </w:style>
  <w:style w:type="character" w:customStyle="1" w:styleId="TitleChar">
    <w:name w:val="Title Char"/>
    <w:basedOn w:val="DefaultParagraphFont"/>
    <w:link w:val="Title"/>
    <w:rsid w:val="00A233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338C"/>
    <w:pPr>
      <w:tabs>
        <w:tab w:val="left" w:pos="3600"/>
        <w:tab w:val="left" w:pos="3958"/>
      </w:tabs>
    </w:pPr>
  </w:style>
  <w:style w:type="paragraph" w:styleId="List">
    <w:name w:val="List"/>
    <w:basedOn w:val="BodyText"/>
    <w:next w:val="BodyText"/>
    <w:rsid w:val="00A2338C"/>
    <w:pPr>
      <w:tabs>
        <w:tab w:val="left" w:pos="340"/>
      </w:tabs>
      <w:spacing w:before="60" w:after="60"/>
      <w:ind w:left="340" w:hanging="340"/>
    </w:pPr>
  </w:style>
  <w:style w:type="paragraph" w:customStyle="1" w:styleId="Note">
    <w:name w:val="Note"/>
    <w:basedOn w:val="BodyText"/>
    <w:rsid w:val="00A233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338C"/>
    <w:pPr>
      <w:framePr w:wrap="auto" w:hAnchor="text" w:y="6049"/>
    </w:pPr>
    <w:rPr>
      <w:color w:val="000000"/>
      <w:sz w:val="40"/>
    </w:rPr>
  </w:style>
  <w:style w:type="paragraph" w:customStyle="1" w:styleId="TOCTitle">
    <w:name w:val="TOCTitle"/>
    <w:basedOn w:val="Heading1"/>
    <w:rsid w:val="00A2338C"/>
    <w:pPr>
      <w:spacing w:after="240"/>
      <w:jc w:val="center"/>
      <w:outlineLvl w:val="9"/>
    </w:pPr>
    <w:rPr>
      <w:caps/>
    </w:rPr>
  </w:style>
  <w:style w:type="paragraph" w:customStyle="1" w:styleId="Version">
    <w:name w:val="Version"/>
    <w:rsid w:val="00A233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338C"/>
    <w:pPr>
      <w:keepNext w:val="0"/>
      <w:tabs>
        <w:tab w:val="right" w:pos="4176"/>
      </w:tabs>
      <w:ind w:left="198" w:hanging="198"/>
    </w:pPr>
    <w:rPr>
      <w:rFonts w:ascii="Garamond" w:hAnsi="Garamond"/>
    </w:rPr>
  </w:style>
  <w:style w:type="paragraph" w:styleId="IndexHeading">
    <w:name w:val="index heading"/>
    <w:basedOn w:val="Normal"/>
    <w:next w:val="Index1"/>
    <w:semiHidden/>
    <w:rsid w:val="00A2338C"/>
    <w:pPr>
      <w:spacing w:before="120" w:after="120"/>
    </w:pPr>
    <w:rPr>
      <w:rFonts w:ascii="Arial" w:hAnsi="Arial"/>
      <w:b/>
      <w:color w:val="918585"/>
      <w:sz w:val="24"/>
    </w:rPr>
  </w:style>
  <w:style w:type="paragraph" w:styleId="Header">
    <w:name w:val="header"/>
    <w:basedOn w:val="Normal"/>
    <w:link w:val="HeaderChar"/>
    <w:rsid w:val="00A233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338C"/>
    <w:rPr>
      <w:rFonts w:ascii="Times New Roman" w:eastAsia="Times New Roman" w:hAnsi="Times New Roman" w:cs="Times New Roman"/>
      <w:sz w:val="16"/>
      <w:szCs w:val="20"/>
      <w:lang w:val="en-GB" w:eastAsia="en-US"/>
    </w:rPr>
  </w:style>
  <w:style w:type="paragraph" w:customStyle="1" w:styleId="Chapter">
    <w:name w:val="Chapter"/>
    <w:basedOn w:val="Normal"/>
    <w:rsid w:val="00A2338C"/>
    <w:pPr>
      <w:spacing w:before="240"/>
    </w:pPr>
    <w:rPr>
      <w:rFonts w:ascii="Times New Roman" w:hAnsi="Times New Roman"/>
      <w:smallCaps/>
      <w:spacing w:val="80"/>
      <w:sz w:val="28"/>
    </w:rPr>
  </w:style>
  <w:style w:type="paragraph" w:customStyle="1" w:styleId="InChapter">
    <w:name w:val="InChapter"/>
    <w:basedOn w:val="Heading3"/>
    <w:rsid w:val="00A2338C"/>
    <w:pPr>
      <w:spacing w:after="240"/>
      <w:outlineLvl w:val="9"/>
    </w:pPr>
    <w:rPr>
      <w:noProof/>
    </w:rPr>
  </w:style>
  <w:style w:type="paragraph" w:styleId="Index2">
    <w:name w:val="index 2"/>
    <w:basedOn w:val="Normal"/>
    <w:next w:val="Normal"/>
    <w:semiHidden/>
    <w:rsid w:val="00A2338C"/>
    <w:pPr>
      <w:tabs>
        <w:tab w:val="right" w:pos="4176"/>
      </w:tabs>
      <w:ind w:left="568" w:hanging="284"/>
    </w:pPr>
    <w:rPr>
      <w:rFonts w:ascii="Garamond" w:hAnsi="Garamond"/>
    </w:rPr>
  </w:style>
  <w:style w:type="paragraph" w:customStyle="1" w:styleId="Byline">
    <w:name w:val="Byline"/>
    <w:rsid w:val="00A233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338C"/>
    <w:pPr>
      <w:tabs>
        <w:tab w:val="clear" w:pos="3600"/>
        <w:tab w:val="clear" w:pos="3958"/>
      </w:tabs>
      <w:jc w:val="right"/>
    </w:pPr>
  </w:style>
  <w:style w:type="character" w:styleId="Emphasis">
    <w:name w:val="Emphasis"/>
    <w:basedOn w:val="DefaultParagraphFont"/>
    <w:qFormat/>
    <w:rsid w:val="00A2338C"/>
    <w:rPr>
      <w:i/>
    </w:rPr>
  </w:style>
  <w:style w:type="paragraph" w:styleId="Caption">
    <w:name w:val="caption"/>
    <w:basedOn w:val="BodyText"/>
    <w:next w:val="Normal"/>
    <w:qFormat/>
    <w:rsid w:val="00A2338C"/>
    <w:pPr>
      <w:framePr w:w="2268" w:hSpace="181" w:vSpace="181" w:wrap="around" w:vAnchor="text" w:hAnchor="page" w:x="1135" w:y="285" w:anchorLock="1"/>
    </w:pPr>
    <w:rPr>
      <w:i/>
    </w:rPr>
  </w:style>
  <w:style w:type="paragraph" w:customStyle="1" w:styleId="MiniTOCTitle">
    <w:name w:val="MiniTOCTitle"/>
    <w:basedOn w:val="Heading4"/>
    <w:rsid w:val="00A2338C"/>
    <w:pPr>
      <w:spacing w:before="240"/>
      <w:outlineLvl w:val="9"/>
    </w:pPr>
    <w:rPr>
      <w:noProof/>
      <w:sz w:val="24"/>
    </w:rPr>
  </w:style>
  <w:style w:type="paragraph" w:customStyle="1" w:styleId="MiniTOCItem">
    <w:name w:val="MiniTOCItem"/>
    <w:basedOn w:val="ListBullet"/>
    <w:rsid w:val="00A2338C"/>
    <w:pPr>
      <w:numPr>
        <w:numId w:val="0"/>
      </w:numPr>
      <w:tabs>
        <w:tab w:val="right" w:leader="dot" w:pos="6521"/>
      </w:tabs>
      <w:spacing w:before="0" w:after="0"/>
    </w:pPr>
  </w:style>
  <w:style w:type="paragraph" w:customStyle="1" w:styleId="TOFTitle">
    <w:name w:val="TOFTitle"/>
    <w:basedOn w:val="TOCTitle"/>
    <w:rsid w:val="00A2338C"/>
  </w:style>
  <w:style w:type="paragraph" w:styleId="TableofFigures">
    <w:name w:val="table of figures"/>
    <w:basedOn w:val="Normal"/>
    <w:next w:val="Normal"/>
    <w:semiHidden/>
    <w:rsid w:val="00A2338C"/>
    <w:pPr>
      <w:tabs>
        <w:tab w:val="right" w:leader="dot" w:pos="9072"/>
      </w:tabs>
      <w:ind w:left="970" w:hanging="403"/>
    </w:pPr>
    <w:rPr>
      <w:rFonts w:ascii="Times New Roman" w:hAnsi="Times New Roman"/>
      <w:b/>
    </w:rPr>
  </w:style>
  <w:style w:type="paragraph" w:styleId="ListNumber">
    <w:name w:val="List Number"/>
    <w:basedOn w:val="List"/>
    <w:rsid w:val="00A2338C"/>
    <w:pPr>
      <w:numPr>
        <w:numId w:val="15"/>
      </w:numPr>
      <w:tabs>
        <w:tab w:val="clear" w:pos="340"/>
      </w:tabs>
    </w:pPr>
  </w:style>
  <w:style w:type="character" w:customStyle="1" w:styleId="WingdingSymbols">
    <w:name w:val="Wingding Symbols"/>
    <w:rsid w:val="00A2338C"/>
    <w:rPr>
      <w:rFonts w:ascii="Wingdings" w:hAnsi="Wingdings"/>
    </w:rPr>
  </w:style>
  <w:style w:type="paragraph" w:customStyle="1" w:styleId="TableHeading">
    <w:name w:val="Table Heading"/>
    <w:basedOn w:val="HeadingBase"/>
    <w:rsid w:val="00A2338C"/>
    <w:pPr>
      <w:keepLines/>
      <w:pBdr>
        <w:bottom w:val="single" w:sz="6" w:space="1" w:color="918585"/>
      </w:pBdr>
      <w:spacing w:before="240"/>
    </w:pPr>
  </w:style>
  <w:style w:type="character" w:customStyle="1" w:styleId="HotSpot">
    <w:name w:val="HotSpot"/>
    <w:rsid w:val="00A2338C"/>
    <w:rPr>
      <w:color w:val="0033CC"/>
      <w:u w:val="none"/>
    </w:rPr>
  </w:style>
  <w:style w:type="paragraph" w:customStyle="1" w:styleId="BodyTextRight">
    <w:name w:val="Body Text Right"/>
    <w:basedOn w:val="BodyText"/>
    <w:rsid w:val="00A2338C"/>
    <w:pPr>
      <w:spacing w:before="0" w:after="0"/>
      <w:jc w:val="right"/>
    </w:pPr>
  </w:style>
  <w:style w:type="paragraph" w:styleId="Index3">
    <w:name w:val="index 3"/>
    <w:basedOn w:val="ListNumber2"/>
    <w:next w:val="Normal"/>
    <w:semiHidden/>
    <w:rsid w:val="00A2338C"/>
    <w:pPr>
      <w:numPr>
        <w:numId w:val="0"/>
      </w:numPr>
      <w:tabs>
        <w:tab w:val="right" w:leader="dot" w:pos="4176"/>
      </w:tabs>
    </w:pPr>
  </w:style>
  <w:style w:type="paragraph" w:styleId="ListNumber2">
    <w:name w:val="List Number 2"/>
    <w:basedOn w:val="List2"/>
    <w:rsid w:val="00A2338C"/>
    <w:pPr>
      <w:numPr>
        <w:numId w:val="10"/>
      </w:numPr>
      <w:tabs>
        <w:tab w:val="clear" w:pos="1060"/>
      </w:tabs>
    </w:pPr>
  </w:style>
  <w:style w:type="paragraph" w:customStyle="1" w:styleId="MarginNote">
    <w:name w:val="Margin Note"/>
    <w:basedOn w:val="BodyText"/>
    <w:rsid w:val="00A233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33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33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338C"/>
    <w:rPr>
      <w:sz w:val="32"/>
    </w:rPr>
  </w:style>
  <w:style w:type="paragraph" w:customStyle="1" w:styleId="HeadingProcedure">
    <w:name w:val="Heading Procedure"/>
    <w:basedOn w:val="HeadingBase"/>
    <w:next w:val="Normal"/>
    <w:rsid w:val="00A2338C"/>
    <w:pPr>
      <w:tabs>
        <w:tab w:val="left" w:pos="0"/>
      </w:tabs>
      <w:spacing w:before="120" w:after="60"/>
    </w:pPr>
    <w:rPr>
      <w:i/>
      <w:color w:val="918585"/>
      <w:sz w:val="22"/>
    </w:rPr>
  </w:style>
  <w:style w:type="paragraph" w:customStyle="1" w:styleId="TableBodyText">
    <w:name w:val="Table Body Text"/>
    <w:basedOn w:val="BodyText"/>
    <w:rsid w:val="00A2338C"/>
    <w:pPr>
      <w:spacing w:before="60" w:after="60"/>
    </w:pPr>
  </w:style>
  <w:style w:type="paragraph" w:styleId="ListContinue">
    <w:name w:val="List Continue"/>
    <w:basedOn w:val="List"/>
    <w:rsid w:val="00A2338C"/>
    <w:pPr>
      <w:ind w:firstLine="0"/>
    </w:pPr>
  </w:style>
  <w:style w:type="paragraph" w:customStyle="1" w:styleId="ListNote">
    <w:name w:val="List Note"/>
    <w:basedOn w:val="List"/>
    <w:rsid w:val="00A2338C"/>
    <w:pPr>
      <w:pBdr>
        <w:top w:val="single" w:sz="6" w:space="2" w:color="918585"/>
        <w:bottom w:val="single" w:sz="6" w:space="2" w:color="918585"/>
      </w:pBdr>
      <w:tabs>
        <w:tab w:val="left" w:pos="1021"/>
      </w:tabs>
      <w:ind w:firstLine="0"/>
    </w:pPr>
  </w:style>
  <w:style w:type="paragraph" w:customStyle="1" w:styleId="Warning">
    <w:name w:val="Warning"/>
    <w:basedOn w:val="BodyText"/>
    <w:rsid w:val="00A2338C"/>
    <w:pPr>
      <w:shd w:val="clear" w:color="auto" w:fill="D9D9D9"/>
      <w:tabs>
        <w:tab w:val="left" w:pos="992"/>
      </w:tabs>
      <w:ind w:left="119" w:right="119"/>
    </w:pPr>
    <w:rPr>
      <w:sz w:val="20"/>
    </w:rPr>
  </w:style>
  <w:style w:type="paragraph" w:customStyle="1" w:styleId="MarginIcons">
    <w:name w:val="Margin Icons"/>
    <w:basedOn w:val="BodyText"/>
    <w:rsid w:val="00A233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338C"/>
    <w:rPr>
      <w:rFonts w:ascii="Courier New" w:hAnsi="Courier New"/>
    </w:rPr>
  </w:style>
  <w:style w:type="paragraph" w:customStyle="1" w:styleId="NoteBullet">
    <w:name w:val="Note Bullet"/>
    <w:basedOn w:val="Note"/>
    <w:rsid w:val="00A2338C"/>
    <w:pPr>
      <w:tabs>
        <w:tab w:val="clear" w:pos="680"/>
      </w:tabs>
      <w:spacing w:before="60" w:after="60"/>
    </w:pPr>
  </w:style>
  <w:style w:type="paragraph" w:customStyle="1" w:styleId="SubHeading2">
    <w:name w:val="SubHeading2"/>
    <w:basedOn w:val="HeadingBase"/>
    <w:rsid w:val="00A2338C"/>
    <w:pPr>
      <w:spacing w:before="240" w:after="60"/>
    </w:pPr>
    <w:rPr>
      <w:sz w:val="20"/>
    </w:rPr>
  </w:style>
  <w:style w:type="paragraph" w:customStyle="1" w:styleId="SubHeading1">
    <w:name w:val="SubHeading1"/>
    <w:basedOn w:val="HeadingBase"/>
    <w:rsid w:val="00A2338C"/>
    <w:pPr>
      <w:spacing w:before="240" w:after="60"/>
    </w:pPr>
    <w:rPr>
      <w:color w:val="918585"/>
      <w:sz w:val="22"/>
    </w:rPr>
  </w:style>
  <w:style w:type="paragraph" w:customStyle="1" w:styleId="SideHeading">
    <w:name w:val="Side Heading"/>
    <w:basedOn w:val="HeadingBase"/>
    <w:rsid w:val="00A233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338C"/>
    <w:pPr>
      <w:tabs>
        <w:tab w:val="num" w:pos="360"/>
      </w:tabs>
    </w:pPr>
  </w:style>
  <w:style w:type="paragraph" w:styleId="PlainText">
    <w:name w:val="Plain Text"/>
    <w:basedOn w:val="Normal"/>
    <w:link w:val="PlainTextChar"/>
    <w:rsid w:val="00A2338C"/>
    <w:rPr>
      <w:sz w:val="20"/>
    </w:rPr>
  </w:style>
  <w:style w:type="character" w:customStyle="1" w:styleId="PlainTextChar">
    <w:name w:val="Plain Text Char"/>
    <w:basedOn w:val="DefaultParagraphFont"/>
    <w:link w:val="PlainText"/>
    <w:rsid w:val="00A2338C"/>
    <w:rPr>
      <w:rFonts w:ascii="Courier New" w:eastAsia="Times New Roman" w:hAnsi="Courier New" w:cs="Times New Roman"/>
      <w:sz w:val="20"/>
      <w:szCs w:val="20"/>
      <w:lang w:eastAsia="en-US"/>
    </w:rPr>
  </w:style>
  <w:style w:type="character" w:customStyle="1" w:styleId="MenuOption">
    <w:name w:val="Menu Option"/>
    <w:basedOn w:val="DefaultParagraphFont"/>
    <w:rsid w:val="00A2338C"/>
    <w:rPr>
      <w:b/>
      <w:smallCaps/>
    </w:rPr>
  </w:style>
  <w:style w:type="paragraph" w:customStyle="1" w:styleId="TableListNumber">
    <w:name w:val="Table List Number"/>
    <w:basedOn w:val="ListNumber"/>
    <w:rsid w:val="00A2338C"/>
    <w:pPr>
      <w:numPr>
        <w:numId w:val="0"/>
      </w:numPr>
    </w:pPr>
  </w:style>
  <w:style w:type="paragraph" w:styleId="TOC4">
    <w:name w:val="toc 4"/>
    <w:basedOn w:val="TOCBase"/>
    <w:next w:val="Normal"/>
    <w:semiHidden/>
    <w:rsid w:val="00A2338C"/>
    <w:pPr>
      <w:tabs>
        <w:tab w:val="right" w:leader="dot" w:pos="9071"/>
      </w:tabs>
      <w:ind w:left="1701"/>
    </w:pPr>
  </w:style>
  <w:style w:type="paragraph" w:customStyle="1" w:styleId="ListAlpha">
    <w:name w:val="List Alpha"/>
    <w:basedOn w:val="List"/>
    <w:rsid w:val="00A2338C"/>
    <w:pPr>
      <w:numPr>
        <w:numId w:val="9"/>
      </w:numPr>
    </w:pPr>
  </w:style>
  <w:style w:type="paragraph" w:customStyle="1" w:styleId="ListAlpha2">
    <w:name w:val="List Alpha 2"/>
    <w:basedOn w:val="List2"/>
    <w:rsid w:val="00A2338C"/>
    <w:pPr>
      <w:numPr>
        <w:numId w:val="8"/>
      </w:numPr>
    </w:pPr>
  </w:style>
  <w:style w:type="paragraph" w:styleId="List2">
    <w:name w:val="List 2"/>
    <w:basedOn w:val="BodyText"/>
    <w:rsid w:val="00A2338C"/>
    <w:pPr>
      <w:tabs>
        <w:tab w:val="left" w:pos="680"/>
      </w:tabs>
      <w:spacing w:before="60" w:after="60"/>
      <w:ind w:left="680" w:hanging="340"/>
    </w:pPr>
  </w:style>
  <w:style w:type="paragraph" w:styleId="List3">
    <w:name w:val="List 3"/>
    <w:basedOn w:val="BodyText"/>
    <w:rsid w:val="00A2338C"/>
    <w:pPr>
      <w:tabs>
        <w:tab w:val="left" w:pos="1021"/>
      </w:tabs>
      <w:spacing w:before="60" w:after="60"/>
      <w:ind w:left="1020" w:hanging="340"/>
    </w:pPr>
  </w:style>
  <w:style w:type="paragraph" w:styleId="List4">
    <w:name w:val="List 4"/>
    <w:basedOn w:val="BodyText"/>
    <w:rsid w:val="00A2338C"/>
    <w:pPr>
      <w:tabs>
        <w:tab w:val="left" w:pos="1361"/>
      </w:tabs>
      <w:spacing w:before="60" w:after="60"/>
      <w:ind w:left="1361" w:hanging="340"/>
    </w:pPr>
  </w:style>
  <w:style w:type="paragraph" w:styleId="List5">
    <w:name w:val="List 5"/>
    <w:basedOn w:val="BodyText"/>
    <w:rsid w:val="00A2338C"/>
    <w:pPr>
      <w:tabs>
        <w:tab w:val="left" w:pos="1701"/>
      </w:tabs>
      <w:spacing w:before="60" w:after="60"/>
      <w:ind w:left="1701" w:hanging="340"/>
    </w:pPr>
  </w:style>
  <w:style w:type="paragraph" w:styleId="ListBullet3">
    <w:name w:val="List Bullet 3"/>
    <w:basedOn w:val="List3"/>
    <w:rsid w:val="00A2338C"/>
    <w:pPr>
      <w:numPr>
        <w:numId w:val="14"/>
      </w:numPr>
      <w:tabs>
        <w:tab w:val="clear" w:pos="1021"/>
      </w:tabs>
      <w:ind w:left="1037" w:hanging="357"/>
    </w:pPr>
  </w:style>
  <w:style w:type="paragraph" w:styleId="ListBullet4">
    <w:name w:val="List Bullet 4"/>
    <w:basedOn w:val="List4"/>
    <w:rsid w:val="00A2338C"/>
    <w:pPr>
      <w:numPr>
        <w:numId w:val="3"/>
      </w:numPr>
      <w:tabs>
        <w:tab w:val="clear" w:pos="1361"/>
      </w:tabs>
    </w:pPr>
  </w:style>
  <w:style w:type="paragraph" w:styleId="ListBullet5">
    <w:name w:val="List Bullet 5"/>
    <w:basedOn w:val="List5"/>
    <w:rsid w:val="00A2338C"/>
    <w:pPr>
      <w:numPr>
        <w:numId w:val="4"/>
      </w:numPr>
    </w:pPr>
  </w:style>
  <w:style w:type="paragraph" w:styleId="ListContinue2">
    <w:name w:val="List Continue 2"/>
    <w:basedOn w:val="List2"/>
    <w:rsid w:val="00A2338C"/>
    <w:pPr>
      <w:ind w:firstLine="0"/>
    </w:pPr>
  </w:style>
  <w:style w:type="paragraph" w:styleId="ListContinue3">
    <w:name w:val="List Continue 3"/>
    <w:basedOn w:val="List3"/>
    <w:rsid w:val="00A2338C"/>
    <w:pPr>
      <w:ind w:left="1021" w:firstLine="0"/>
    </w:pPr>
  </w:style>
  <w:style w:type="paragraph" w:styleId="ListContinue4">
    <w:name w:val="List Continue 4"/>
    <w:basedOn w:val="List4"/>
    <w:rsid w:val="00A2338C"/>
    <w:pPr>
      <w:ind w:firstLine="0"/>
    </w:pPr>
  </w:style>
  <w:style w:type="paragraph" w:styleId="ListContinue5">
    <w:name w:val="List Continue 5"/>
    <w:basedOn w:val="List5"/>
    <w:rsid w:val="00A2338C"/>
    <w:pPr>
      <w:ind w:firstLine="0"/>
    </w:pPr>
  </w:style>
  <w:style w:type="paragraph" w:styleId="ListNumber3">
    <w:name w:val="List Number 3"/>
    <w:basedOn w:val="List3"/>
    <w:rsid w:val="00A2338C"/>
    <w:pPr>
      <w:numPr>
        <w:numId w:val="5"/>
      </w:numPr>
    </w:pPr>
  </w:style>
  <w:style w:type="paragraph" w:styleId="ListNumber4">
    <w:name w:val="List Number 4"/>
    <w:basedOn w:val="List4"/>
    <w:rsid w:val="00A2338C"/>
    <w:pPr>
      <w:numPr>
        <w:numId w:val="6"/>
      </w:numPr>
    </w:pPr>
  </w:style>
  <w:style w:type="paragraph" w:styleId="ListNumber5">
    <w:name w:val="List Number 5"/>
    <w:basedOn w:val="List5"/>
    <w:rsid w:val="00A2338C"/>
    <w:pPr>
      <w:numPr>
        <w:numId w:val="7"/>
      </w:numPr>
    </w:pPr>
  </w:style>
  <w:style w:type="paragraph" w:styleId="BlockText">
    <w:name w:val="Block Text"/>
    <w:basedOn w:val="Normal"/>
    <w:rsid w:val="00A2338C"/>
    <w:pPr>
      <w:spacing w:after="120"/>
      <w:ind w:left="1440" w:right="1440"/>
    </w:pPr>
  </w:style>
  <w:style w:type="character" w:customStyle="1" w:styleId="Subscript">
    <w:name w:val="Subscript"/>
    <w:basedOn w:val="DefaultParagraphFont"/>
    <w:rsid w:val="00A2338C"/>
    <w:rPr>
      <w:sz w:val="16"/>
      <w:vertAlign w:val="subscript"/>
    </w:rPr>
  </w:style>
  <w:style w:type="character" w:customStyle="1" w:styleId="Superscript">
    <w:name w:val="Superscript"/>
    <w:basedOn w:val="DefaultParagraphFont"/>
    <w:rsid w:val="00A2338C"/>
    <w:rPr>
      <w:sz w:val="16"/>
      <w:vertAlign w:val="superscript"/>
    </w:rPr>
  </w:style>
  <w:style w:type="character" w:customStyle="1" w:styleId="Symbols">
    <w:name w:val="Symbols"/>
    <w:basedOn w:val="DefaultParagraphFont"/>
    <w:rsid w:val="00A2338C"/>
    <w:rPr>
      <w:rFonts w:ascii="Symbol" w:hAnsi="Symbol"/>
    </w:rPr>
  </w:style>
  <w:style w:type="character" w:customStyle="1" w:styleId="MenuOptions">
    <w:name w:val="Menu Options"/>
    <w:basedOn w:val="DefaultParagraphFont"/>
    <w:rsid w:val="00A2338C"/>
    <w:rPr>
      <w:rFonts w:ascii="Arial Narrow" w:hAnsi="Arial Narrow"/>
      <w:smallCaps/>
    </w:rPr>
  </w:style>
  <w:style w:type="character" w:customStyle="1" w:styleId="Buttons">
    <w:name w:val="Buttons"/>
    <w:basedOn w:val="DefaultParagraphFont"/>
    <w:rsid w:val="00A2338C"/>
    <w:rPr>
      <w:b/>
    </w:rPr>
  </w:style>
  <w:style w:type="character" w:customStyle="1" w:styleId="Underlined">
    <w:name w:val="Underlined"/>
    <w:basedOn w:val="DefaultParagraphFont"/>
    <w:rsid w:val="00A2338C"/>
    <w:rPr>
      <w:u w:val="single"/>
    </w:rPr>
  </w:style>
  <w:style w:type="paragraph" w:customStyle="1" w:styleId="TableBodyTextRight">
    <w:name w:val="Table Body Text Right"/>
    <w:basedOn w:val="TableBodyText"/>
    <w:rsid w:val="00A2338C"/>
    <w:pPr>
      <w:widowControl w:val="0"/>
      <w:autoSpaceDE w:val="0"/>
      <w:autoSpaceDN w:val="0"/>
      <w:adjustRightInd w:val="0"/>
      <w:jc w:val="right"/>
    </w:pPr>
    <w:rPr>
      <w:rFonts w:cs="Arial"/>
      <w:szCs w:val="18"/>
    </w:rPr>
  </w:style>
  <w:style w:type="paragraph" w:customStyle="1" w:styleId="CopyrightText">
    <w:name w:val="Copyright Text"/>
    <w:basedOn w:val="BodyText"/>
    <w:rsid w:val="00A2338C"/>
    <w:rPr>
      <w:sz w:val="18"/>
    </w:rPr>
  </w:style>
  <w:style w:type="paragraph" w:customStyle="1" w:styleId="BodySmallRight">
    <w:name w:val="Body Small Right"/>
    <w:basedOn w:val="BodyTextRight"/>
    <w:rsid w:val="00A2338C"/>
    <w:rPr>
      <w:sz w:val="18"/>
      <w:szCs w:val="18"/>
    </w:rPr>
  </w:style>
  <w:style w:type="paragraph" w:customStyle="1" w:styleId="MarginEdition">
    <w:name w:val="Margin Edition"/>
    <w:basedOn w:val="MarginNote"/>
    <w:rsid w:val="00A2338C"/>
    <w:pPr>
      <w:spacing w:before="0" w:after="0"/>
    </w:pPr>
    <w:rPr>
      <w:rFonts w:ascii="Times New Roman" w:hAnsi="Times New Roman"/>
      <w:color w:val="999999"/>
    </w:rPr>
  </w:style>
  <w:style w:type="paragraph" w:customStyle="1" w:styleId="Spacer">
    <w:name w:val="Spacer"/>
    <w:basedOn w:val="Normal"/>
    <w:rsid w:val="00A2338C"/>
    <w:rPr>
      <w:sz w:val="2"/>
      <w:szCs w:val="2"/>
    </w:rPr>
  </w:style>
  <w:style w:type="character" w:customStyle="1" w:styleId="Small">
    <w:name w:val="Small"/>
    <w:basedOn w:val="DefaultParagraphFont"/>
    <w:rsid w:val="00A2338C"/>
    <w:rPr>
      <w:sz w:val="16"/>
    </w:rPr>
  </w:style>
  <w:style w:type="paragraph" w:customStyle="1" w:styleId="WideTable">
    <w:name w:val="Wide Table"/>
    <w:basedOn w:val="Normal"/>
    <w:rsid w:val="00A2338C"/>
    <w:pPr>
      <w:ind w:left="-1418"/>
    </w:pPr>
    <w:rPr>
      <w:sz w:val="2"/>
      <w:szCs w:val="2"/>
    </w:rPr>
  </w:style>
  <w:style w:type="character" w:styleId="PageNumber">
    <w:name w:val="page number"/>
    <w:basedOn w:val="DefaultParagraphFont"/>
    <w:rsid w:val="00A2338C"/>
  </w:style>
  <w:style w:type="paragraph" w:styleId="Quote">
    <w:name w:val="Quote"/>
    <w:basedOn w:val="Heading1"/>
    <w:link w:val="QuoteChar"/>
    <w:qFormat/>
    <w:rsid w:val="00A2338C"/>
    <w:rPr>
      <w:b w:val="0"/>
      <w:sz w:val="72"/>
      <w:szCs w:val="72"/>
      <w:lang w:val="en-NZ"/>
    </w:rPr>
  </w:style>
  <w:style w:type="character" w:customStyle="1" w:styleId="QuoteChar">
    <w:name w:val="Quote Char"/>
    <w:basedOn w:val="DefaultParagraphFont"/>
    <w:link w:val="Quote"/>
    <w:rsid w:val="00A233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338C"/>
    <w:pPr>
      <w:pageBreakBefore/>
    </w:pPr>
  </w:style>
  <w:style w:type="paragraph" w:customStyle="1" w:styleId="Border">
    <w:name w:val="Border"/>
    <w:basedOn w:val="Normal"/>
    <w:qFormat/>
    <w:rsid w:val="00A233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338C"/>
    <w:rPr>
      <w:b/>
      <w:bCs/>
      <w:i/>
      <w:iCs/>
      <w:color w:val="auto"/>
    </w:rPr>
  </w:style>
  <w:style w:type="paragraph" w:styleId="IntenseQuote">
    <w:name w:val="Intense Quote"/>
    <w:basedOn w:val="Normal"/>
    <w:next w:val="Normal"/>
    <w:link w:val="IntenseQuoteChar"/>
    <w:uiPriority w:val="30"/>
    <w:qFormat/>
    <w:rsid w:val="00A233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33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338C"/>
    <w:rPr>
      <w:smallCaps/>
      <w:color w:val="auto"/>
      <w:u w:val="single"/>
    </w:rPr>
  </w:style>
  <w:style w:type="character" w:styleId="IntenseReference">
    <w:name w:val="Intense Reference"/>
    <w:basedOn w:val="DefaultParagraphFont"/>
    <w:uiPriority w:val="32"/>
    <w:qFormat/>
    <w:rsid w:val="00A2338C"/>
    <w:rPr>
      <w:b/>
      <w:bCs/>
      <w:smallCaps/>
      <w:color w:val="auto"/>
      <w:spacing w:val="5"/>
      <w:u w:val="single"/>
    </w:rPr>
  </w:style>
  <w:style w:type="paragraph" w:customStyle="1" w:styleId="2ColumnHeading">
    <w:name w:val="2Column Heading"/>
    <w:basedOn w:val="BodyText"/>
    <w:qFormat/>
    <w:rsid w:val="00A2338C"/>
    <w:pPr>
      <w:spacing w:after="60"/>
      <w:ind w:left="-2268"/>
    </w:pPr>
    <w:rPr>
      <w:b/>
    </w:rPr>
  </w:style>
  <w:style w:type="paragraph" w:customStyle="1" w:styleId="Heading1TOC">
    <w:name w:val="Heading1 TOC"/>
    <w:basedOn w:val="Normal"/>
    <w:qFormat/>
    <w:rsid w:val="00A2338C"/>
    <w:pPr>
      <w:spacing w:before="240" w:after="120"/>
    </w:pPr>
    <w:rPr>
      <w:rFonts w:ascii="Times New Roman" w:hAnsi="Times New Roman"/>
      <w:b/>
      <w:sz w:val="32"/>
    </w:rPr>
  </w:style>
  <w:style w:type="paragraph" w:customStyle="1" w:styleId="Heading2TOC">
    <w:name w:val="Heading2 TOC"/>
    <w:basedOn w:val="Normal"/>
    <w:qFormat/>
    <w:rsid w:val="00A2338C"/>
    <w:pPr>
      <w:spacing w:before="240" w:after="60"/>
    </w:pPr>
    <w:rPr>
      <w:rFonts w:ascii="Times New Roman" w:hAnsi="Times New Roman"/>
      <w:b/>
      <w:sz w:val="28"/>
    </w:rPr>
  </w:style>
  <w:style w:type="character" w:customStyle="1" w:styleId="Underline">
    <w:name w:val="Underline"/>
    <w:basedOn w:val="DefaultParagraphFont"/>
    <w:qFormat/>
    <w:rsid w:val="00A2338C"/>
    <w:rPr>
      <w:u w:val="single"/>
    </w:rPr>
  </w:style>
  <w:style w:type="character" w:customStyle="1" w:styleId="BoldandItalics">
    <w:name w:val="Bold and Italics"/>
    <w:qFormat/>
    <w:rsid w:val="00A2338C"/>
    <w:rPr>
      <w:b/>
      <w:i/>
      <w:u w:val="none"/>
    </w:rPr>
  </w:style>
  <w:style w:type="paragraph" w:styleId="BalloonText">
    <w:name w:val="Balloon Text"/>
    <w:basedOn w:val="Normal"/>
    <w:link w:val="BalloonTextChar"/>
    <w:rsid w:val="00A2338C"/>
    <w:rPr>
      <w:rFonts w:ascii="Tahoma" w:hAnsi="Tahoma" w:cs="Tahoma"/>
      <w:sz w:val="16"/>
      <w:szCs w:val="16"/>
    </w:rPr>
  </w:style>
  <w:style w:type="character" w:customStyle="1" w:styleId="BalloonTextChar">
    <w:name w:val="Balloon Text Char"/>
    <w:basedOn w:val="DefaultParagraphFont"/>
    <w:link w:val="BalloonText"/>
    <w:rsid w:val="00A233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33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33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338C"/>
    <w:rPr>
      <w:b/>
      <w:color w:val="660033"/>
      <w:spacing w:val="0"/>
    </w:rPr>
  </w:style>
  <w:style w:type="paragraph" w:customStyle="1" w:styleId="Nameditemlist">
    <w:name w:val="Named item list"/>
    <w:basedOn w:val="BodyText"/>
    <w:qFormat/>
    <w:rsid w:val="00A2338C"/>
    <w:pPr>
      <w:tabs>
        <w:tab w:val="left" w:pos="2835"/>
      </w:tabs>
      <w:ind w:left="2835" w:hanging="2835"/>
    </w:pPr>
  </w:style>
  <w:style w:type="paragraph" w:customStyle="1" w:styleId="BodyTextnopadding">
    <w:name w:val="Body Text no padding"/>
    <w:basedOn w:val="BodyText"/>
    <w:qFormat/>
    <w:rsid w:val="00A2338C"/>
    <w:pPr>
      <w:spacing w:before="0" w:after="0"/>
    </w:pPr>
  </w:style>
  <w:style w:type="paragraph" w:customStyle="1" w:styleId="BodyTextBold">
    <w:name w:val="Body Text Bold"/>
    <w:basedOn w:val="BodyText"/>
    <w:qFormat/>
    <w:rsid w:val="00A2338C"/>
    <w:rPr>
      <w:b/>
    </w:rPr>
  </w:style>
  <w:style w:type="character" w:styleId="Hyperlink">
    <w:name w:val="Hyperlink"/>
    <w:basedOn w:val="DefaultParagraphFont"/>
    <w:uiPriority w:val="99"/>
    <w:unhideWhenUsed/>
    <w:rsid w:val="000E25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1141</Words>
  <Characters>7271</Characters>
  <Application>Microsoft Office Word</Application>
  <DocSecurity>0</DocSecurity>
  <Lines>290</Lines>
  <Paragraphs>171</Paragraphs>
  <ScaleCrop>false</ScaleCrop>
  <Company>Author-it Software Corporation Ltd.</Company>
  <LinksUpToDate>false</LinksUpToDate>
  <CharactersWithSpaces>8241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DEFPET007 Assist in the operation of the towed flexible barge system</dc:title>
  <dc:subject>Approved</dc:subject>
  <dc:creator>Public Skills Australia</dc:creator>
  <cp:keywords>Release: 1</cp:keywords>
  <dc:description>Review Date: 12 April 2008</dc:description>
  <cp:lastModifiedBy>HSD_TPCMSd.prod</cp:lastModifiedBy>
  <cp:revision>3</cp:revision>
  <dcterms:created xsi:type="dcterms:W3CDTF">2025-03-01T20:53:00Z</dcterms:created>
  <dcterms:modified xsi:type="dcterms:W3CDTF">2025-03-01T20:53:00Z</dcterms:modified>
</cp:coreProperties>
</file>