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5FD7" w:rsidP="00D65FD7">
      <w:pPr>
        <w:pStyle w:val="Title"/>
      </w:pPr>
      <w:r>
        <w:fldChar w:fldCharType="begin"/>
      </w:r>
      <w:r>
        <w:instrText xml:space="preserve"> TITLE   \* MERGEFORMAT </w:instrText>
      </w:r>
      <w:r>
        <w:fldChar w:fldCharType="separate"/>
      </w:r>
      <w:r>
        <w:t>DEFPET001 Conduct field refuelling operations from a bulk fuel installation</w:t>
      </w:r>
      <w:r>
        <w:fldChar w:fldCharType="end"/>
      </w:r>
    </w:p>
    <w:p w:rsidR="00D65FD7" w:rsidP="00D65FD7">
      <w:pPr>
        <w:pStyle w:val="Version"/>
        <w:sectPr w:rsidSect="006C7E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7E1F" w:rsidP="006C7E1F">
      <w:pPr>
        <w:pStyle w:val="SuperHeading"/>
      </w:pPr>
      <w:r w:rsidRPr="006C7E1F">
        <w:t>DEFPET001 Conduct field refuelling operations from a bulk fuel installation</w:t>
      </w:r>
    </w:p>
    <w:p w:rsidR="00000000" w:rsidRPr="006C7E1F" w:rsidP="006C7E1F">
      <w:pPr>
        <w:pStyle w:val="Heading1"/>
      </w:pPr>
      <w:bookmarkStart w:id="1" w:name="O_958382"/>
      <w:bookmarkEnd w:id="1"/>
      <w:r w:rsidRPr="006C7E1F">
        <w:t>Modification History</w:t>
      </w:r>
    </w:p>
    <w:tbl>
      <w:tblPr>
        <w:tblW w:w="9497" w:type="dxa"/>
        <w:tblLayout w:type="fixed"/>
        <w:tblCellMar>
          <w:left w:w="62" w:type="dxa"/>
          <w:right w:w="62" w:type="dxa"/>
        </w:tblCellMar>
        <w:tblLook w:val="0000"/>
      </w:tblPr>
      <w:tblGrid>
        <w:gridCol w:w="9497"/>
      </w:tblGrid>
      <w:tr w:rsidTr="006C7E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E1F" w:rsidP="006C7E1F">
            <w:pPr>
              <w:pStyle w:val="BodyText"/>
            </w:pPr>
            <w:r w:rsidRPr="006C7E1F">
              <w:t>Release 1. This is the first release of this unit of competency in the DEF Defence Training Package.</w:t>
            </w:r>
          </w:p>
        </w:tc>
      </w:tr>
    </w:tbl>
    <w:p w:rsidR="00000000" w:rsidRPr="006C7E1F" w:rsidP="006C7E1F">
      <w:pPr>
        <w:pStyle w:val="NoPaddingFontSize1"/>
      </w:pPr>
    </w:p>
    <w:p w:rsidR="00000000" w:rsidRPr="006C7E1F" w:rsidP="006C7E1F">
      <w:pPr>
        <w:pStyle w:val="AllowPageBreak"/>
      </w:pPr>
    </w:p>
    <w:p w:rsidR="00000000" w:rsidRPr="006C7E1F" w:rsidP="006C7E1F">
      <w:pPr>
        <w:pStyle w:val="Heading1"/>
      </w:pPr>
      <w:bookmarkStart w:id="2" w:name="O_958383"/>
      <w:bookmarkEnd w:id="2"/>
      <w:r w:rsidRPr="006C7E1F">
        <w:t>Application</w:t>
      </w:r>
    </w:p>
    <w:tbl>
      <w:tblPr>
        <w:tblW w:w="9497" w:type="dxa"/>
        <w:tblLayout w:type="fixed"/>
        <w:tblCellMar>
          <w:left w:w="62" w:type="dxa"/>
          <w:right w:w="62" w:type="dxa"/>
        </w:tblCellMar>
        <w:tblLook w:val="0000"/>
      </w:tblPr>
      <w:tblGrid>
        <w:gridCol w:w="9497"/>
      </w:tblGrid>
      <w:tr w:rsidTr="006C7E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E1F" w:rsidP="006C7E1F">
            <w:pPr>
              <w:pStyle w:val="BodyText"/>
            </w:pPr>
            <w:r w:rsidRPr="006C7E1F">
              <w:t>This unit specifies the skills and knowledge required to conduct refuelling of vehicles and plant from a bulk fuel installation in a field environment to transfer fuel products between storage mediums within the installation.</w:t>
            </w:r>
          </w:p>
          <w:p w:rsidR="00000000" w:rsidRPr="006C7E1F" w:rsidP="006C7E1F">
            <w:pPr>
              <w:pStyle w:val="BodyText"/>
            </w:pPr>
            <w:r w:rsidRPr="006C7E1F">
              <w:t>It includes preparing, conduct</w:t>
            </w:r>
            <w:r w:rsidRPr="006C7E1F">
              <w:t>ing and completing refuelling and fuel transfer operations.</w:t>
            </w:r>
          </w:p>
          <w:p w:rsidR="00000000" w:rsidRPr="006C7E1F" w:rsidP="006C7E1F">
            <w:pPr>
              <w:pStyle w:val="BodyText"/>
            </w:pPr>
            <w:r w:rsidRPr="006C7E1F">
              <w:t>This unit applies to persons working as petroleum operators in Defence but is applicable to any individual in this field of work.</w:t>
            </w:r>
          </w:p>
          <w:p w:rsidR="00000000" w:rsidRPr="006C7E1F" w:rsidP="006C7E1F">
            <w:pPr>
              <w:pStyle w:val="BodyText"/>
            </w:pPr>
            <w:r w:rsidRPr="006C7E1F">
              <w:t>The skills and knowledge described in this unit must be applied wi</w:t>
            </w:r>
            <w:r w:rsidRPr="006C7E1F">
              <w:t>thin the legislative, regulatory and policy environment in which they are carried out. Organisational policies and procedures must be consulted and adhered to.</w:t>
            </w:r>
          </w:p>
          <w:p w:rsidR="00000000" w:rsidRPr="006C7E1F" w:rsidP="006C7E1F">
            <w:pPr>
              <w:pStyle w:val="BodyText"/>
            </w:pPr>
            <w:r w:rsidRPr="006C7E1F">
              <w:t>Persons undertaking this unit work under supervision and perform specific tasks in a range of co</w:t>
            </w:r>
            <w:r w:rsidRPr="006C7E1F">
              <w:t>ntexts.</w:t>
            </w:r>
          </w:p>
          <w:p w:rsidR="00000000" w:rsidRPr="006C7E1F" w:rsidP="006C7E1F">
            <w:pPr>
              <w:pStyle w:val="BodyText"/>
            </w:pPr>
            <w:r w:rsidRPr="006C7E1F">
              <w:t>No licensing, legislative or certification requirements apply to this unit at the time of publication.</w:t>
            </w:r>
          </w:p>
        </w:tc>
      </w:tr>
    </w:tbl>
    <w:p w:rsidR="00000000" w:rsidRPr="006C7E1F" w:rsidP="006C7E1F">
      <w:pPr>
        <w:pStyle w:val="NoPaddingFontSize1"/>
      </w:pPr>
    </w:p>
    <w:p w:rsidR="00000000" w:rsidRPr="006C7E1F" w:rsidP="006C7E1F">
      <w:pPr>
        <w:pStyle w:val="AllowPageBreak"/>
      </w:pPr>
    </w:p>
    <w:p w:rsidR="00000000" w:rsidRPr="006C7E1F" w:rsidP="006C7E1F">
      <w:pPr>
        <w:pStyle w:val="Heading1"/>
      </w:pPr>
      <w:bookmarkStart w:id="3" w:name="O_958384"/>
      <w:bookmarkEnd w:id="3"/>
      <w:r w:rsidRPr="006C7E1F">
        <w:t>Pre-requisite Unit</w:t>
      </w:r>
    </w:p>
    <w:tbl>
      <w:tblPr>
        <w:tblW w:w="9497" w:type="dxa"/>
        <w:tblLayout w:type="fixed"/>
        <w:tblCellMar>
          <w:left w:w="62" w:type="dxa"/>
          <w:right w:w="62" w:type="dxa"/>
        </w:tblCellMar>
        <w:tblLook w:val="0000"/>
      </w:tblPr>
      <w:tblGrid>
        <w:gridCol w:w="9497"/>
      </w:tblGrid>
      <w:tr w:rsidTr="006C7E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E1F" w:rsidP="006C7E1F">
            <w:pPr>
              <w:pStyle w:val="BodyText"/>
            </w:pPr>
            <w:r w:rsidRPr="006C7E1F">
              <w:t>Not applicable</w:t>
            </w:r>
          </w:p>
        </w:tc>
      </w:tr>
    </w:tbl>
    <w:p w:rsidR="00000000" w:rsidRPr="006C7E1F" w:rsidP="006C7E1F">
      <w:pPr>
        <w:pStyle w:val="NoPaddingFontSize1"/>
      </w:pPr>
    </w:p>
    <w:p w:rsidR="00000000" w:rsidRPr="006C7E1F" w:rsidP="006C7E1F">
      <w:pPr>
        <w:pStyle w:val="AllowPageBreak"/>
      </w:pPr>
    </w:p>
    <w:p w:rsidR="00000000" w:rsidRPr="006C7E1F" w:rsidP="006C7E1F">
      <w:pPr>
        <w:pStyle w:val="Heading1"/>
      </w:pPr>
      <w:bookmarkStart w:id="4" w:name="O_958385"/>
      <w:bookmarkEnd w:id="4"/>
      <w:r w:rsidRPr="006C7E1F">
        <w:t>Competency Field</w:t>
      </w:r>
    </w:p>
    <w:tbl>
      <w:tblPr>
        <w:tblW w:w="9497" w:type="dxa"/>
        <w:tblLayout w:type="fixed"/>
        <w:tblCellMar>
          <w:left w:w="62" w:type="dxa"/>
          <w:right w:w="62" w:type="dxa"/>
        </w:tblCellMar>
        <w:tblLook w:val="0000"/>
      </w:tblPr>
      <w:tblGrid>
        <w:gridCol w:w="9497"/>
      </w:tblGrid>
      <w:tr w:rsidTr="006C7E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E1F" w:rsidP="006C7E1F">
            <w:pPr>
              <w:pStyle w:val="BodyText"/>
            </w:pPr>
            <w:r w:rsidRPr="006C7E1F">
              <w:t>Petroleum Operations</w:t>
            </w:r>
          </w:p>
        </w:tc>
      </w:tr>
    </w:tbl>
    <w:p w:rsidR="00000000" w:rsidRPr="006C7E1F" w:rsidP="006C7E1F">
      <w:pPr>
        <w:pStyle w:val="NoPaddingFontSize1"/>
      </w:pPr>
    </w:p>
    <w:p w:rsidR="00000000" w:rsidRPr="006C7E1F" w:rsidP="006C7E1F">
      <w:pPr>
        <w:pStyle w:val="AllowPageBreak"/>
      </w:pPr>
    </w:p>
    <w:p w:rsidR="00000000" w:rsidRPr="006C7E1F" w:rsidP="006C7E1F">
      <w:pPr>
        <w:pStyle w:val="Heading1"/>
      </w:pPr>
      <w:bookmarkStart w:id="5" w:name="O_958386"/>
      <w:bookmarkEnd w:id="5"/>
      <w:r w:rsidRPr="006C7E1F">
        <w:t>Unit Sector</w:t>
      </w:r>
    </w:p>
    <w:tbl>
      <w:tblPr>
        <w:tblW w:w="9497" w:type="dxa"/>
        <w:tblLayout w:type="fixed"/>
        <w:tblCellMar>
          <w:left w:w="62" w:type="dxa"/>
          <w:right w:w="62" w:type="dxa"/>
        </w:tblCellMar>
        <w:tblLook w:val="0000"/>
      </w:tblPr>
      <w:tblGrid>
        <w:gridCol w:w="9497"/>
      </w:tblGrid>
      <w:tr w:rsidTr="006C7E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E1F" w:rsidP="006C7E1F">
            <w:pPr>
              <w:pStyle w:val="BodyText"/>
            </w:pPr>
            <w:r w:rsidRPr="006C7E1F">
              <w:t>Not applicable.</w:t>
            </w:r>
          </w:p>
        </w:tc>
      </w:tr>
    </w:tbl>
    <w:p w:rsidR="00000000" w:rsidRPr="006C7E1F" w:rsidP="006C7E1F">
      <w:pPr>
        <w:pStyle w:val="NoPaddingFontSize1"/>
      </w:pPr>
    </w:p>
    <w:p w:rsidR="00000000" w:rsidRPr="006C7E1F" w:rsidP="006C7E1F">
      <w:pPr>
        <w:pStyle w:val="AllowPageBreak"/>
      </w:pPr>
    </w:p>
    <w:p w:rsidR="00000000" w:rsidRPr="006C7E1F" w:rsidP="006C7E1F">
      <w:pPr>
        <w:pStyle w:val="Heading1"/>
      </w:pPr>
      <w:bookmarkStart w:id="6" w:name="O_958387"/>
      <w:bookmarkEnd w:id="6"/>
      <w:r w:rsidRPr="006C7E1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C7E1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C7E1F" w:rsidP="006C7E1F">
            <w:pPr>
              <w:pStyle w:val="BodyText"/>
            </w:pPr>
            <w:r w:rsidRPr="006C7E1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C7E1F">
            <w:pPr>
              <w:pStyle w:val="BodyText"/>
              <w:rPr>
                <w:lang w:val="en-NZ"/>
              </w:rPr>
            </w:pPr>
            <w:r w:rsidRPr="006C7E1F">
              <w:rPr>
                <w:rStyle w:val="SpecialBold"/>
              </w:rPr>
              <w:t>PERFORMANCE CRITERIA</w:t>
            </w:r>
          </w:p>
        </w:tc>
      </w:tr>
      <w:tr w:rsidTr="006C7E1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C7E1F">
            <w:pPr>
              <w:pStyle w:val="BodyText"/>
              <w:rPr>
                <w:lang w:val="en-NZ"/>
              </w:rPr>
            </w:pPr>
            <w:r w:rsidRPr="006C7E1F">
              <w:t xml:space="preserve">Elements describe the essential </w:t>
            </w:r>
            <w:r w:rsidRPr="006C7E1F">
              <w:t>outcomes.</w:t>
            </w:r>
          </w:p>
        </w:tc>
        <w:tc>
          <w:tcPr>
            <w:tcW w:w="6289" w:type="dxa"/>
            <w:gridSpan w:val="2"/>
            <w:tcBorders>
              <w:top w:val="nil"/>
              <w:left w:val="nil"/>
              <w:bottom w:val="nil"/>
              <w:right w:val="nil"/>
            </w:tcBorders>
            <w:tcMar>
              <w:top w:w="0" w:type="dxa"/>
              <w:left w:w="62" w:type="dxa"/>
              <w:bottom w:w="0" w:type="dxa"/>
              <w:right w:w="62" w:type="dxa"/>
            </w:tcMar>
          </w:tcPr>
          <w:p w:rsidR="00000000" w:rsidP="006C7E1F">
            <w:pPr>
              <w:pStyle w:val="BodyText"/>
              <w:rPr>
                <w:lang w:val="en-NZ"/>
              </w:rPr>
            </w:pPr>
            <w:r w:rsidRPr="006C7E1F">
              <w:t xml:space="preserve">Performance criteria describe the performance needed to </w:t>
            </w:r>
            <w:r w:rsidRPr="006C7E1F">
              <w:t>demonstrate achievement of the element.</w:t>
            </w:r>
          </w:p>
        </w:tc>
      </w:tr>
      <w:tr w:rsidTr="006C7E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C7E1F" w:rsidP="006C7E1F">
            <w:pPr>
              <w:pStyle w:val="BodyText"/>
            </w:pPr>
            <w:r w:rsidRPr="006C7E1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C7E1F" w:rsidP="006C7E1F">
            <w:pPr>
              <w:pStyle w:val="BodyText"/>
            </w:pPr>
            <w:r w:rsidRPr="006C7E1F">
              <w:rPr>
                <w:rStyle w:val="SpecialBold"/>
              </w:rPr>
              <w:t>Prepare for and conduct refuelling and fuel transfer operations</w:t>
            </w:r>
          </w:p>
        </w:tc>
        <w:tc>
          <w:tcPr>
            <w:tcW w:w="697" w:type="dxa"/>
            <w:tcBorders>
              <w:top w:val="nil"/>
              <w:left w:val="nil"/>
              <w:bottom w:val="nil"/>
              <w:right w:val="nil"/>
            </w:tcBorders>
            <w:tcMar>
              <w:top w:w="0" w:type="dxa"/>
              <w:left w:w="62" w:type="dxa"/>
              <w:bottom w:w="0" w:type="dxa"/>
              <w:right w:w="62" w:type="dxa"/>
            </w:tcMar>
          </w:tcPr>
          <w:p w:rsidR="00000000" w:rsidP="006C7E1F">
            <w:pPr>
              <w:pStyle w:val="BodyText"/>
              <w:rPr>
                <w:lang w:val="en-NZ"/>
              </w:rPr>
            </w:pPr>
            <w:r w:rsidRPr="006C7E1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C7E1F">
            <w:pPr>
              <w:pStyle w:val="BodyText"/>
              <w:rPr>
                <w:lang w:val="en-NZ"/>
              </w:rPr>
            </w:pPr>
            <w:r w:rsidRPr="006C7E1F">
              <w:t>Identify and confirm refuelling tasks with supervisor</w:t>
            </w:r>
          </w:p>
        </w:tc>
      </w:tr>
      <w:tr w:rsidTr="006C7E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7E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7E1F">
            <w:pPr>
              <w:pStyle w:val="BodyText"/>
              <w:rPr>
                <w:lang w:val="en-NZ"/>
              </w:rPr>
            </w:pPr>
            <w:r w:rsidRPr="006C7E1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C7E1F">
            <w:pPr>
              <w:pStyle w:val="BodyText"/>
              <w:rPr>
                <w:lang w:val="en-NZ"/>
              </w:rPr>
            </w:pPr>
            <w:r w:rsidRPr="006C7E1F">
              <w:t>Inspect and prepare refuelling equipment for operation in accordance with manufacturer specifications and operational procedure</w:t>
            </w:r>
            <w:r w:rsidRPr="006C7E1F">
              <w:t>s</w:t>
            </w:r>
          </w:p>
        </w:tc>
      </w:tr>
      <w:tr w:rsidTr="006C7E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7E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7E1F">
            <w:pPr>
              <w:pStyle w:val="BodyText"/>
              <w:rPr>
                <w:lang w:val="en-NZ"/>
              </w:rPr>
            </w:pPr>
            <w:r w:rsidRPr="006C7E1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C7E1F">
            <w:pPr>
              <w:pStyle w:val="BodyText"/>
              <w:rPr>
                <w:lang w:val="en-NZ"/>
              </w:rPr>
            </w:pPr>
            <w:r w:rsidRPr="006C7E1F">
              <w:t>Select and fit personal protective equipment to operate bulk fuel installation in accordance with safety data sheets, environmental and work health and safety procedures</w:t>
            </w:r>
          </w:p>
        </w:tc>
      </w:tr>
      <w:tr w:rsidTr="006C7E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7E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7E1F">
            <w:pPr>
              <w:pStyle w:val="BodyText"/>
              <w:rPr>
                <w:lang w:val="en-NZ"/>
              </w:rPr>
            </w:pPr>
            <w:r w:rsidRPr="006C7E1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C7E1F">
            <w:pPr>
              <w:pStyle w:val="BodyText"/>
              <w:rPr>
                <w:lang w:val="en-NZ"/>
              </w:rPr>
            </w:pPr>
            <w:r w:rsidRPr="006C7E1F">
              <w:t>Test for fuel contamination and quarantine, as required</w:t>
            </w:r>
          </w:p>
        </w:tc>
      </w:tr>
      <w:tr w:rsidTr="006C7E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7E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7E1F">
            <w:pPr>
              <w:pStyle w:val="BodyText"/>
              <w:rPr>
                <w:lang w:val="en-NZ"/>
              </w:rPr>
            </w:pPr>
            <w:r w:rsidRPr="006C7E1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C7E1F">
            <w:pPr>
              <w:pStyle w:val="BodyText"/>
              <w:rPr>
                <w:lang w:val="en-NZ"/>
              </w:rPr>
            </w:pPr>
            <w:r w:rsidRPr="006C7E1F">
              <w:t>Monitor fuel transfer process, and rectify and/or report faults in accordance with manufacturer specifications and operational procedures</w:t>
            </w:r>
          </w:p>
        </w:tc>
      </w:tr>
      <w:tr w:rsidTr="006C7E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7E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7E1F">
            <w:pPr>
              <w:pStyle w:val="BodyText"/>
              <w:rPr>
                <w:lang w:val="en-NZ"/>
              </w:rPr>
            </w:pPr>
            <w:r w:rsidRPr="006C7E1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C7E1F">
            <w:pPr>
              <w:pStyle w:val="BodyText"/>
              <w:rPr>
                <w:lang w:val="en-NZ"/>
              </w:rPr>
            </w:pPr>
            <w:r w:rsidRPr="006C7E1F">
              <w:t>Recognise equipment breakdowns and emergencies/incidents, and instigate emergency response plan to shut down fu</w:t>
            </w:r>
            <w:r w:rsidRPr="006C7E1F">
              <w:t>el transfer process in accordance with manufacturer specifications and operational guidelines</w:t>
            </w:r>
          </w:p>
        </w:tc>
      </w:tr>
      <w:tr w:rsidTr="006C7E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C7E1F" w:rsidP="006C7E1F">
            <w:pPr>
              <w:pStyle w:val="BodyText"/>
            </w:pPr>
            <w:r w:rsidRPr="006C7E1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C7E1F" w:rsidP="006C7E1F">
            <w:pPr>
              <w:pStyle w:val="BodyText"/>
            </w:pPr>
            <w:r w:rsidRPr="006C7E1F">
              <w:rPr>
                <w:rStyle w:val="SpecialBold"/>
              </w:rPr>
              <w:t>Complete refuelling operations</w:t>
            </w:r>
          </w:p>
        </w:tc>
        <w:tc>
          <w:tcPr>
            <w:tcW w:w="697" w:type="dxa"/>
            <w:tcBorders>
              <w:top w:val="nil"/>
              <w:left w:val="nil"/>
              <w:bottom w:val="nil"/>
              <w:right w:val="nil"/>
            </w:tcBorders>
            <w:tcMar>
              <w:top w:w="0" w:type="dxa"/>
              <w:left w:w="62" w:type="dxa"/>
              <w:bottom w:w="0" w:type="dxa"/>
              <w:right w:w="62" w:type="dxa"/>
            </w:tcMar>
          </w:tcPr>
          <w:p w:rsidR="00000000" w:rsidP="006C7E1F">
            <w:pPr>
              <w:pStyle w:val="BodyText"/>
              <w:rPr>
                <w:lang w:val="en-NZ"/>
              </w:rPr>
            </w:pPr>
            <w:r w:rsidRPr="006C7E1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C7E1F">
            <w:pPr>
              <w:pStyle w:val="BodyText"/>
              <w:rPr>
                <w:lang w:val="en-NZ"/>
              </w:rPr>
            </w:pPr>
            <w:r w:rsidRPr="006C7E1F">
              <w:t>Shut down, maintain and pack away refuelling equipment in the bulk fuel installation in accordance with manufacturer specifications and operational procedures</w:t>
            </w:r>
          </w:p>
        </w:tc>
      </w:tr>
      <w:tr w:rsidTr="006C7E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7E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7E1F">
            <w:pPr>
              <w:pStyle w:val="BodyText"/>
              <w:rPr>
                <w:lang w:val="en-NZ"/>
              </w:rPr>
            </w:pPr>
            <w:r w:rsidRPr="006C7E1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C7E1F">
            <w:pPr>
              <w:pStyle w:val="BodyText"/>
              <w:rPr>
                <w:lang w:val="en-NZ"/>
              </w:rPr>
            </w:pPr>
            <w:r w:rsidRPr="006C7E1F">
              <w:t>Recover, inspect and maintain fuel transfer equipment in accordance with operational proce</w:t>
            </w:r>
            <w:r w:rsidRPr="006C7E1F">
              <w:t>dures</w:t>
            </w:r>
          </w:p>
        </w:tc>
      </w:tr>
      <w:tr w:rsidTr="006C7E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7E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7E1F">
            <w:pPr>
              <w:pStyle w:val="BodyText"/>
              <w:rPr>
                <w:lang w:val="en-NZ"/>
              </w:rPr>
            </w:pPr>
            <w:r w:rsidRPr="006C7E1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C7E1F">
            <w:pPr>
              <w:pStyle w:val="BodyText"/>
              <w:rPr>
                <w:lang w:val="en-NZ"/>
              </w:rPr>
            </w:pPr>
            <w:r w:rsidRPr="006C7E1F">
              <w:t>Complete documentation, as required</w:t>
            </w:r>
          </w:p>
        </w:tc>
      </w:tr>
      <w:tr w:rsidTr="006C7E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7E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7E1F">
            <w:pPr>
              <w:pStyle w:val="BodyText"/>
              <w:rPr>
                <w:lang w:val="en-NZ"/>
              </w:rPr>
            </w:pPr>
            <w:r w:rsidRPr="006C7E1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RPr="006C7E1F" w:rsidP="006C7E1F">
            <w:pPr>
              <w:pStyle w:val="BodyText"/>
            </w:pPr>
            <w:r w:rsidRPr="006C7E1F">
              <w:t>Refurbish equipment in the fuel installation in accordance with manufacturer specifications and operational procedures</w:t>
            </w:r>
          </w:p>
        </w:tc>
      </w:tr>
    </w:tbl>
    <w:p w:rsidR="00000000" w:rsidRPr="006C7E1F" w:rsidP="006C7E1F">
      <w:pPr>
        <w:pStyle w:val="NoPaddingFontSize1"/>
      </w:pPr>
    </w:p>
    <w:p w:rsidR="00000000" w:rsidRPr="006C7E1F" w:rsidP="006C7E1F">
      <w:pPr>
        <w:pStyle w:val="AllowPageBreak"/>
      </w:pPr>
    </w:p>
    <w:p w:rsidR="00000000" w:rsidRPr="006C7E1F" w:rsidP="006C7E1F">
      <w:pPr>
        <w:pStyle w:val="Heading1"/>
      </w:pPr>
      <w:bookmarkStart w:id="7" w:name="O_958388"/>
      <w:bookmarkEnd w:id="7"/>
      <w:r w:rsidRPr="006C7E1F">
        <w:t>Foundation Skills</w:t>
      </w:r>
    </w:p>
    <w:tbl>
      <w:tblPr>
        <w:tblW w:w="9497" w:type="dxa"/>
        <w:tblLayout w:type="fixed"/>
        <w:tblCellMar>
          <w:left w:w="62" w:type="dxa"/>
          <w:right w:w="62" w:type="dxa"/>
        </w:tblCellMar>
        <w:tblLook w:val="0000"/>
      </w:tblPr>
      <w:tblGrid>
        <w:gridCol w:w="9497"/>
      </w:tblGrid>
      <w:tr w:rsidTr="006C7E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E1F" w:rsidP="006C7E1F">
            <w:pPr>
              <w:pStyle w:val="BodyText"/>
            </w:pPr>
            <w:r w:rsidRPr="006C7E1F">
              <w:t>Foundation skills essential to performance are explicit in the performance criteria of this unit of competency.</w:t>
            </w:r>
          </w:p>
        </w:tc>
      </w:tr>
    </w:tbl>
    <w:p w:rsidR="00000000" w:rsidRPr="006C7E1F" w:rsidP="006C7E1F">
      <w:pPr>
        <w:pStyle w:val="NoPaddingFontSize1"/>
      </w:pPr>
    </w:p>
    <w:p w:rsidR="00000000" w:rsidRPr="006C7E1F" w:rsidP="006C7E1F">
      <w:pPr>
        <w:pStyle w:val="AllowPageBreak"/>
      </w:pPr>
    </w:p>
    <w:p w:rsidR="00000000" w:rsidRPr="006C7E1F" w:rsidP="006C7E1F">
      <w:pPr>
        <w:pStyle w:val="Heading1"/>
      </w:pPr>
      <w:bookmarkStart w:id="8" w:name="O_958389"/>
      <w:bookmarkEnd w:id="8"/>
      <w:r w:rsidRPr="006C7E1F">
        <w:t>Range of Conditions</w:t>
      </w:r>
    </w:p>
    <w:tbl>
      <w:tblPr>
        <w:tblW w:w="9497" w:type="dxa"/>
        <w:tblLayout w:type="fixed"/>
        <w:tblCellMar>
          <w:left w:w="62" w:type="dxa"/>
          <w:right w:w="62" w:type="dxa"/>
        </w:tblCellMar>
        <w:tblLook w:val="0000"/>
      </w:tblPr>
      <w:tblGrid>
        <w:gridCol w:w="9497"/>
      </w:tblGrid>
      <w:tr w:rsidTr="006C7E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E1F" w:rsidP="006C7E1F">
            <w:pPr>
              <w:pStyle w:val="BodyText"/>
            </w:pPr>
            <w:r w:rsidRPr="006C7E1F">
              <w:t>Range is restricted to essential operating conditions and any other variables essential to the work envir</w:t>
            </w:r>
            <w:r w:rsidRPr="006C7E1F">
              <w:t>onment.</w:t>
            </w:r>
          </w:p>
          <w:p w:rsidR="00000000" w:rsidRPr="006C7E1F" w:rsidP="006C7E1F">
            <w:pPr>
              <w:pStyle w:val="BodyText"/>
            </w:pPr>
            <w:r w:rsidRPr="006C7E1F">
              <w:t>Non-essential conditions may be found in the Companion Volume Implementation Guide.</w:t>
            </w:r>
          </w:p>
        </w:tc>
      </w:tr>
    </w:tbl>
    <w:p w:rsidR="00000000" w:rsidRPr="006C7E1F" w:rsidP="006C7E1F">
      <w:pPr>
        <w:pStyle w:val="NoPaddingFontSize1"/>
      </w:pPr>
    </w:p>
    <w:p w:rsidR="00000000" w:rsidRPr="006C7E1F" w:rsidP="006C7E1F">
      <w:pPr>
        <w:pStyle w:val="AllowPageBreak"/>
      </w:pPr>
    </w:p>
    <w:p w:rsidR="00000000" w:rsidRPr="006C7E1F" w:rsidP="006C7E1F">
      <w:pPr>
        <w:pStyle w:val="Heading1"/>
      </w:pPr>
      <w:bookmarkStart w:id="9" w:name="O_958390"/>
      <w:bookmarkEnd w:id="9"/>
      <w:r w:rsidRPr="006C7E1F">
        <w:t>Unit Mapping Information</w:t>
      </w:r>
    </w:p>
    <w:tbl>
      <w:tblPr>
        <w:tblW w:w="9497" w:type="dxa"/>
        <w:tblLayout w:type="fixed"/>
        <w:tblCellMar>
          <w:left w:w="62" w:type="dxa"/>
          <w:right w:w="62" w:type="dxa"/>
        </w:tblCellMar>
        <w:tblLook w:val="0000"/>
      </w:tblPr>
      <w:tblGrid>
        <w:gridCol w:w="9497"/>
      </w:tblGrid>
      <w:tr w:rsidTr="006C7E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E1F" w:rsidP="006C7E1F">
            <w:pPr>
              <w:pStyle w:val="BodyText"/>
            </w:pPr>
            <w:r w:rsidRPr="006C7E1F">
              <w:t>This unit replaces and is equivalent to DEFPE001A Conduct field refuelling operations from a bulk fuel installation.</w:t>
            </w:r>
          </w:p>
        </w:tc>
      </w:tr>
    </w:tbl>
    <w:p w:rsidR="00000000" w:rsidRPr="006C7E1F" w:rsidP="006C7E1F">
      <w:pPr>
        <w:pStyle w:val="NoPaddingFontSize1"/>
      </w:pPr>
    </w:p>
    <w:p w:rsidR="00000000" w:rsidRPr="006C7E1F" w:rsidP="006C7E1F">
      <w:pPr>
        <w:pStyle w:val="AllowPageBreak"/>
      </w:pPr>
    </w:p>
    <w:p w:rsidR="00000000" w:rsidRPr="006C7E1F" w:rsidP="006C7E1F">
      <w:pPr>
        <w:pStyle w:val="Heading1"/>
      </w:pPr>
      <w:bookmarkStart w:id="10" w:name="O_958397"/>
      <w:bookmarkEnd w:id="10"/>
      <w:r w:rsidRPr="006C7E1F">
        <w:t>Links</w:t>
      </w:r>
    </w:p>
    <w:p w:rsidR="00000000" w:rsidRPr="006C7E1F" w:rsidP="00D65FD7">
      <w:pPr>
        <w:pStyle w:val="BodyText"/>
      </w:pPr>
      <w:r w:rsidRPr="006C7E1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354FA">
        <w:rPr>
          <w:rStyle w:val="Hyperlink"/>
        </w:rPr>
        <w:t>https://vetnet.gov.au/Pages/TrainingDocs.aspx?q=6bdbab1e-11ed-4bc9-9cba-9e1a55d4e4a9</w:t>
      </w:r>
      <w:r>
        <w:fldChar w:fldCharType="end"/>
      </w:r>
    </w:p>
    <w:p w:rsidR="00000000" w:rsidRPr="006C7E1F" w:rsidP="00D65FD7">
      <w:pPr>
        <w:pStyle w:val="BodyText"/>
        <w:sectPr w:rsidSect="006C7E1F">
          <w:headerReference w:type="default" r:id="rId10"/>
          <w:footerReference w:type="default" r:id="rId11"/>
          <w:pgSz w:w="11908" w:h="16833"/>
          <w:pgMar w:top="1702" w:right="1418" w:bottom="1702" w:left="1418" w:header="992" w:footer="992" w:gutter="0"/>
          <w:cols w:space="720"/>
          <w:noEndnote/>
          <w:docGrid w:linePitch="299"/>
        </w:sectPr>
      </w:pPr>
    </w:p>
    <w:p w:rsidR="00000000" w:rsidRPr="006C7E1F" w:rsidP="006C7E1F">
      <w:pPr>
        <w:pStyle w:val="SuperHeading"/>
      </w:pPr>
      <w:r w:rsidRPr="006C7E1F">
        <w:t>Assessment Requirements for DEFPET001 Con</w:t>
      </w:r>
      <w:r w:rsidRPr="006C7E1F">
        <w:t>duct field refuelling operations from a bulk fuel installation</w:t>
      </w:r>
    </w:p>
    <w:p w:rsidR="00000000" w:rsidRPr="006C7E1F" w:rsidP="006C7E1F">
      <w:pPr>
        <w:pStyle w:val="Heading1"/>
      </w:pPr>
      <w:bookmarkStart w:id="11" w:name="O_958392"/>
      <w:bookmarkEnd w:id="11"/>
      <w:r w:rsidRPr="006C7E1F">
        <w:t>Modification History</w:t>
      </w:r>
    </w:p>
    <w:tbl>
      <w:tblPr>
        <w:tblW w:w="9497" w:type="dxa"/>
        <w:tblLayout w:type="fixed"/>
        <w:tblCellMar>
          <w:left w:w="62" w:type="dxa"/>
          <w:right w:w="62" w:type="dxa"/>
        </w:tblCellMar>
        <w:tblLook w:val="0000"/>
      </w:tblPr>
      <w:tblGrid>
        <w:gridCol w:w="9497"/>
      </w:tblGrid>
      <w:tr w:rsidTr="006C7E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E1F" w:rsidP="006C7E1F">
            <w:pPr>
              <w:pStyle w:val="BodyText"/>
            </w:pPr>
            <w:r w:rsidRPr="006C7E1F">
              <w:t>Release 1. This is the first release of this unit of competency in the DEF Defence Training Package.</w:t>
            </w:r>
          </w:p>
        </w:tc>
      </w:tr>
    </w:tbl>
    <w:p w:rsidR="00000000" w:rsidRPr="006C7E1F" w:rsidP="006C7E1F">
      <w:pPr>
        <w:pStyle w:val="NoPaddingFontSize1"/>
      </w:pPr>
    </w:p>
    <w:p w:rsidR="00000000" w:rsidRPr="006C7E1F" w:rsidP="006C7E1F">
      <w:pPr>
        <w:pStyle w:val="AllowPageBreak"/>
      </w:pPr>
    </w:p>
    <w:p w:rsidR="00000000" w:rsidRPr="006C7E1F" w:rsidP="006C7E1F">
      <w:pPr>
        <w:pStyle w:val="Heading1"/>
      </w:pPr>
      <w:bookmarkStart w:id="12" w:name="O_958393"/>
      <w:bookmarkEnd w:id="12"/>
      <w:r w:rsidRPr="006C7E1F">
        <w:t>Performance Evidence</w:t>
      </w:r>
    </w:p>
    <w:tbl>
      <w:tblPr>
        <w:tblW w:w="9497" w:type="dxa"/>
        <w:tblLayout w:type="fixed"/>
        <w:tblCellMar>
          <w:left w:w="62" w:type="dxa"/>
          <w:right w:w="62" w:type="dxa"/>
        </w:tblCellMar>
        <w:tblLook w:val="0000"/>
      </w:tblPr>
      <w:tblGrid>
        <w:gridCol w:w="9497"/>
      </w:tblGrid>
      <w:tr w:rsidTr="006C7E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E1F" w:rsidP="006C7E1F">
            <w:pPr>
              <w:pStyle w:val="BodyText"/>
            </w:pPr>
            <w:r w:rsidRPr="006C7E1F">
              <w:t>Evidence required to demonstrate competence in this unit must be relevant to and satisfy all of the requirements of the elements and performance criteria on at least one occasion and include:</w:t>
            </w:r>
          </w:p>
          <w:p w:rsidR="00000000" w:rsidRPr="006C7E1F" w:rsidP="006C7E1F">
            <w:pPr>
              <w:pStyle w:val="ListBullet"/>
            </w:pPr>
            <w:r w:rsidRPr="006C7E1F">
              <w:t>applying relevant legislation, regulatory standards, and organi</w:t>
            </w:r>
            <w:r w:rsidRPr="006C7E1F">
              <w:t>sational policies and procedures</w:t>
            </w:r>
          </w:p>
          <w:p w:rsidR="00000000" w:rsidRPr="006C7E1F" w:rsidP="006C7E1F">
            <w:pPr>
              <w:pStyle w:val="ListBullet"/>
            </w:pPr>
            <w:r w:rsidRPr="006C7E1F">
              <w:t>controlling fuel spills</w:t>
            </w:r>
          </w:p>
          <w:p w:rsidR="00000000" w:rsidRPr="006C7E1F" w:rsidP="006C7E1F">
            <w:pPr>
              <w:pStyle w:val="ListBullet"/>
            </w:pPr>
            <w:r w:rsidRPr="006C7E1F">
              <w:t>earthing vehicle and plant</w:t>
            </w:r>
          </w:p>
          <w:p w:rsidR="00000000" w:rsidRPr="006C7E1F" w:rsidP="006C7E1F">
            <w:pPr>
              <w:pStyle w:val="ListBullet"/>
            </w:pPr>
            <w:r w:rsidRPr="006C7E1F">
              <w:t>implementing environmentally sustainable work practices</w:t>
            </w:r>
          </w:p>
          <w:p w:rsidR="00000000" w:rsidRPr="006C7E1F" w:rsidP="006C7E1F">
            <w:pPr>
              <w:pStyle w:val="ListBullet"/>
            </w:pPr>
            <w:r w:rsidRPr="006C7E1F">
              <w:t>interpreting fuel markings and panels</w:t>
            </w:r>
          </w:p>
          <w:p w:rsidR="00000000" w:rsidRPr="006C7E1F" w:rsidP="006C7E1F">
            <w:pPr>
              <w:pStyle w:val="ListBullet"/>
            </w:pPr>
            <w:r w:rsidRPr="006C7E1F">
              <w:t>operating refuelling equipment</w:t>
            </w:r>
          </w:p>
          <w:p w:rsidR="00000000" w:rsidRPr="006C7E1F" w:rsidP="006C7E1F">
            <w:pPr>
              <w:pStyle w:val="ListBullet"/>
            </w:pPr>
            <w:r w:rsidRPr="006C7E1F">
              <w:t>refuelling vehicles and plant</w:t>
            </w:r>
          </w:p>
          <w:p w:rsidR="00000000" w:rsidRPr="006C7E1F" w:rsidP="006C7E1F">
            <w:pPr>
              <w:pStyle w:val="ListBullet"/>
            </w:pPr>
            <w:r w:rsidRPr="006C7E1F">
              <w:t>responding to emergencies using emergency response plans</w:t>
            </w:r>
          </w:p>
          <w:p w:rsidR="00000000" w:rsidRPr="006C7E1F" w:rsidP="006C7E1F">
            <w:pPr>
              <w:pStyle w:val="ListBullet"/>
            </w:pPr>
            <w:r w:rsidRPr="006C7E1F">
              <w:t>testing fuel for product contamination.</w:t>
            </w:r>
          </w:p>
        </w:tc>
      </w:tr>
    </w:tbl>
    <w:p w:rsidR="00000000" w:rsidRPr="006C7E1F" w:rsidP="006C7E1F">
      <w:pPr>
        <w:pStyle w:val="NoPaddingFontSize1"/>
      </w:pPr>
    </w:p>
    <w:p w:rsidR="00000000" w:rsidRPr="006C7E1F" w:rsidP="006C7E1F">
      <w:pPr>
        <w:pStyle w:val="AllowPageBreak"/>
      </w:pPr>
    </w:p>
    <w:p w:rsidR="00000000" w:rsidRPr="006C7E1F" w:rsidP="006C7E1F">
      <w:pPr>
        <w:pStyle w:val="Heading1"/>
      </w:pPr>
      <w:bookmarkStart w:id="13" w:name="O_958394"/>
      <w:bookmarkEnd w:id="13"/>
      <w:r w:rsidRPr="006C7E1F">
        <w:t>Knowledge Evidence</w:t>
      </w:r>
    </w:p>
    <w:tbl>
      <w:tblPr>
        <w:tblW w:w="9497" w:type="dxa"/>
        <w:tblLayout w:type="fixed"/>
        <w:tblCellMar>
          <w:left w:w="62" w:type="dxa"/>
          <w:right w:w="62" w:type="dxa"/>
        </w:tblCellMar>
        <w:tblLook w:val="0000"/>
      </w:tblPr>
      <w:tblGrid>
        <w:gridCol w:w="9497"/>
      </w:tblGrid>
      <w:tr w:rsidTr="006C7E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E1F" w:rsidP="006C7E1F">
            <w:pPr>
              <w:pStyle w:val="BodyText"/>
            </w:pPr>
            <w:r w:rsidRPr="006C7E1F">
              <w:t>Evidence required to demonstrate competence in this unit must be relevant to and satisfy all of the requirements of the e</w:t>
            </w:r>
            <w:r w:rsidRPr="006C7E1F">
              <w:t>lements and performance criteria and include knowledge of:</w:t>
            </w:r>
          </w:p>
          <w:p w:rsidR="00000000" w:rsidRPr="006C7E1F" w:rsidP="006C7E1F">
            <w:pPr>
              <w:pStyle w:val="ListBullet"/>
            </w:pPr>
            <w:r w:rsidRPr="006C7E1F">
              <w:t>Australian dangerous goods codes including:</w:t>
            </w:r>
          </w:p>
          <w:p w:rsidR="00000000" w:rsidRPr="006C7E1F" w:rsidP="006C7E1F">
            <w:pPr>
              <w:pStyle w:val="ListBullet2"/>
            </w:pPr>
            <w:r w:rsidRPr="006C7E1F">
              <w:t>segregation and storage requirements</w:t>
            </w:r>
          </w:p>
          <w:p w:rsidR="00000000" w:rsidRPr="006C7E1F" w:rsidP="006C7E1F">
            <w:pPr>
              <w:pStyle w:val="ListBullet"/>
            </w:pPr>
            <w:r w:rsidRPr="006C7E1F">
              <w:t>causes of explosions and related preventative measures</w:t>
            </w:r>
          </w:p>
          <w:p w:rsidR="00000000" w:rsidRPr="006C7E1F" w:rsidP="006C7E1F">
            <w:pPr>
              <w:pStyle w:val="ListBullet"/>
            </w:pPr>
            <w:r w:rsidRPr="006C7E1F">
              <w:t>emergency/incident response plans</w:t>
            </w:r>
          </w:p>
          <w:p w:rsidR="00000000" w:rsidRPr="006C7E1F" w:rsidP="006C7E1F">
            <w:pPr>
              <w:pStyle w:val="ListBullet"/>
            </w:pPr>
            <w:r w:rsidRPr="006C7E1F">
              <w:t>environmental protection measures to be applied during fuel transfer operations</w:t>
            </w:r>
          </w:p>
          <w:p w:rsidR="00000000" w:rsidRPr="006C7E1F" w:rsidP="006C7E1F">
            <w:pPr>
              <w:pStyle w:val="ListBullet"/>
            </w:pPr>
            <w:r w:rsidRPr="006C7E1F">
              <w:t>firefighting techniques</w:t>
            </w:r>
          </w:p>
          <w:p w:rsidR="00000000" w:rsidRPr="006C7E1F" w:rsidP="006C7E1F">
            <w:pPr>
              <w:pStyle w:val="ListBullet"/>
            </w:pPr>
            <w:r w:rsidRPr="006C7E1F">
              <w:t>fuel products and fuel transfer systems including valve and hose systems</w:t>
            </w:r>
          </w:p>
          <w:p w:rsidR="00000000" w:rsidRPr="006C7E1F" w:rsidP="006C7E1F">
            <w:pPr>
              <w:pStyle w:val="ListBullet"/>
            </w:pPr>
            <w:r w:rsidRPr="006C7E1F">
              <w:t>functions and responsibilities of team members</w:t>
            </w:r>
          </w:p>
          <w:p w:rsidR="00000000" w:rsidRPr="006C7E1F" w:rsidP="006C7E1F">
            <w:pPr>
              <w:pStyle w:val="ListBullet"/>
            </w:pPr>
            <w:r w:rsidRPr="006C7E1F">
              <w:t>hazard control methods associate</w:t>
            </w:r>
            <w:r w:rsidRPr="006C7E1F">
              <w:t>d with fuel products</w:t>
            </w:r>
          </w:p>
          <w:p w:rsidR="00000000" w:rsidRPr="006C7E1F" w:rsidP="006C7E1F">
            <w:pPr>
              <w:pStyle w:val="ListBullet"/>
            </w:pPr>
            <w:r w:rsidRPr="006C7E1F">
              <w:t>hydraulics principles</w:t>
            </w:r>
          </w:p>
          <w:p w:rsidR="00000000" w:rsidRPr="006C7E1F" w:rsidP="006C7E1F">
            <w:pPr>
              <w:pStyle w:val="ListBullet"/>
            </w:pPr>
            <w:r w:rsidRPr="006C7E1F">
              <w:t>physical properties of fuels</w:t>
            </w:r>
          </w:p>
          <w:p w:rsidR="00000000" w:rsidRPr="006C7E1F" w:rsidP="006C7E1F">
            <w:pPr>
              <w:pStyle w:val="ListBullet"/>
            </w:pPr>
            <w:r w:rsidRPr="006C7E1F">
              <w:t>refuelling equipment must include one or more of the following:</w:t>
            </w:r>
          </w:p>
          <w:p w:rsidR="00000000" w:rsidRPr="006C7E1F" w:rsidP="006C7E1F">
            <w:pPr>
              <w:pStyle w:val="ListBullet2"/>
            </w:pPr>
            <w:r w:rsidRPr="006C7E1F">
              <w:t>50 mm/100 mm fuel equipment including:</w:t>
            </w:r>
          </w:p>
          <w:p w:rsidR="00000000" w:rsidRPr="006C7E1F" w:rsidP="006C7E1F">
            <w:pPr>
              <w:pStyle w:val="ListBullet3"/>
            </w:pPr>
            <w:r w:rsidRPr="006C7E1F">
              <w:t>fittings</w:t>
            </w:r>
          </w:p>
          <w:p w:rsidR="00000000" w:rsidRPr="006C7E1F" w:rsidP="006C7E1F">
            <w:pPr>
              <w:pStyle w:val="ListBullet3"/>
            </w:pPr>
            <w:r w:rsidRPr="006C7E1F">
              <w:t>pipelines and hoses</w:t>
            </w:r>
          </w:p>
          <w:p w:rsidR="00000000" w:rsidRPr="006C7E1F" w:rsidP="006C7E1F">
            <w:pPr>
              <w:pStyle w:val="ListBullet3"/>
            </w:pPr>
            <w:r w:rsidRPr="006C7E1F">
              <w:t>pumps</w:t>
            </w:r>
          </w:p>
          <w:p w:rsidR="00000000" w:rsidRPr="006C7E1F" w:rsidP="006C7E1F">
            <w:pPr>
              <w:pStyle w:val="ListBullet3"/>
            </w:pPr>
            <w:r w:rsidRPr="006C7E1F">
              <w:t>valves, vessels and tanks</w:t>
            </w:r>
          </w:p>
          <w:p w:rsidR="00000000" w:rsidRPr="006C7E1F" w:rsidP="006C7E1F">
            <w:pPr>
              <w:pStyle w:val="ListBullet2"/>
            </w:pPr>
            <w:r w:rsidRPr="006C7E1F">
              <w:t>measurement instruments including:</w:t>
            </w:r>
          </w:p>
          <w:p w:rsidR="00000000" w:rsidRPr="006C7E1F" w:rsidP="006C7E1F">
            <w:pPr>
              <w:pStyle w:val="ListBullet3"/>
            </w:pPr>
            <w:r w:rsidRPr="006C7E1F">
              <w:t>hydrometers</w:t>
            </w:r>
          </w:p>
          <w:p w:rsidR="00000000" w:rsidRPr="006C7E1F" w:rsidP="006C7E1F">
            <w:pPr>
              <w:pStyle w:val="ListBullet3"/>
            </w:pPr>
            <w:r w:rsidRPr="006C7E1F">
              <w:t>tapes</w:t>
            </w:r>
          </w:p>
          <w:p w:rsidR="00000000" w:rsidRPr="006C7E1F" w:rsidP="006C7E1F">
            <w:pPr>
              <w:pStyle w:val="ListBullet3"/>
            </w:pPr>
            <w:r w:rsidRPr="006C7E1F">
              <w:t>thermometers</w:t>
            </w:r>
          </w:p>
          <w:p w:rsidR="00000000" w:rsidRPr="006C7E1F" w:rsidP="006C7E1F">
            <w:pPr>
              <w:pStyle w:val="ListBullet"/>
            </w:pPr>
            <w:r w:rsidRPr="006C7E1F">
              <w:t>relevant organisational policies and procedures.</w:t>
            </w:r>
          </w:p>
        </w:tc>
      </w:tr>
    </w:tbl>
    <w:p w:rsidR="00000000" w:rsidRPr="006C7E1F" w:rsidP="006C7E1F">
      <w:pPr>
        <w:pStyle w:val="NoPaddingFontSize1"/>
      </w:pPr>
    </w:p>
    <w:p w:rsidR="00000000" w:rsidRPr="006C7E1F" w:rsidP="006C7E1F">
      <w:pPr>
        <w:pStyle w:val="AllowPageBreak"/>
      </w:pPr>
    </w:p>
    <w:p w:rsidR="00000000" w:rsidRPr="006C7E1F" w:rsidP="006C7E1F">
      <w:pPr>
        <w:pStyle w:val="Heading1"/>
      </w:pPr>
      <w:bookmarkStart w:id="14" w:name="O_958395"/>
      <w:bookmarkEnd w:id="14"/>
      <w:r w:rsidRPr="006C7E1F">
        <w:t>Assessment Conditions</w:t>
      </w:r>
    </w:p>
    <w:tbl>
      <w:tblPr>
        <w:tblW w:w="9497" w:type="dxa"/>
        <w:tblLayout w:type="fixed"/>
        <w:tblCellMar>
          <w:left w:w="62" w:type="dxa"/>
          <w:right w:w="62" w:type="dxa"/>
        </w:tblCellMar>
        <w:tblLook w:val="0000"/>
      </w:tblPr>
      <w:tblGrid>
        <w:gridCol w:w="9497"/>
      </w:tblGrid>
      <w:tr w:rsidTr="006C7E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7E1F" w:rsidP="006C7E1F">
            <w:pPr>
              <w:pStyle w:val="BodyText"/>
            </w:pPr>
            <w:r w:rsidRPr="006C7E1F">
              <w:t>As a minimum, assessors must satisfy applicable regulatory requirements, which include requirements in the Standards for Registered Training Organisations current at the time of assessment.</w:t>
            </w:r>
          </w:p>
          <w:p w:rsidR="00000000" w:rsidRPr="006C7E1F" w:rsidP="006C7E1F">
            <w:pPr>
              <w:pStyle w:val="BodyText"/>
            </w:pPr>
            <w:r w:rsidRPr="006C7E1F">
              <w:t>As a minimum, assessment must satisfy applicable regulatory requir</w:t>
            </w:r>
            <w:r w:rsidRPr="006C7E1F">
              <w:t>ements, which include requirements in the Standards for Registered Training Organisations current at the time of assessment.</w:t>
            </w:r>
          </w:p>
          <w:p w:rsidR="00000000" w:rsidRPr="006C7E1F" w:rsidP="006C7E1F">
            <w:pPr>
              <w:pStyle w:val="BodyText"/>
            </w:pPr>
            <w:r w:rsidRPr="006C7E1F">
              <w:t>Assessment processes and techniques must be appropriate to the language, literacy and numeracy requirements of the work being perfo</w:t>
            </w:r>
            <w:r w:rsidRPr="006C7E1F">
              <w:t>rmed and the needs of the candidate.</w:t>
            </w:r>
          </w:p>
          <w:p w:rsidR="00000000" w:rsidRPr="006C7E1F" w:rsidP="006C7E1F">
            <w:pPr>
              <w:pStyle w:val="BodyText"/>
            </w:pPr>
            <w:r w:rsidRPr="006C7E1F">
              <w:t>Assessment must occur in workplace operational situations, where it is appropriate to do so; where this is not appropriate, assessment must occur in simulated workplace operational situations that replicate workplace co</w:t>
            </w:r>
            <w:r w:rsidRPr="006C7E1F">
              <w:t>nditions.</w:t>
            </w:r>
          </w:p>
          <w:p w:rsidR="00000000" w:rsidRPr="006C7E1F" w:rsidP="006C7E1F">
            <w:pPr>
              <w:pStyle w:val="BodyText"/>
            </w:pPr>
            <w:r w:rsidRPr="006C7E1F">
              <w:t>Resources for assessment must include access to:</w:t>
            </w:r>
          </w:p>
          <w:p w:rsidR="00000000" w:rsidRPr="006C7E1F" w:rsidP="006C7E1F">
            <w:pPr>
              <w:pStyle w:val="ListBullet"/>
            </w:pPr>
            <w:r w:rsidRPr="006C7E1F">
              <w:t>a range of relevant exercises, case studies and/or other simulations</w:t>
            </w:r>
          </w:p>
          <w:p w:rsidR="00000000" w:rsidRPr="006C7E1F" w:rsidP="006C7E1F">
            <w:pPr>
              <w:pStyle w:val="ListBullet"/>
            </w:pPr>
            <w:r w:rsidRPr="006C7E1F">
              <w:t>relevant and appropriate materials, tools, equipment and personal protective equipment currently used in industry including:</w:t>
            </w:r>
          </w:p>
          <w:p w:rsidR="00000000" w:rsidRPr="006C7E1F" w:rsidP="006C7E1F">
            <w:pPr>
              <w:pStyle w:val="ListBullet2"/>
            </w:pPr>
            <w:r w:rsidRPr="006C7E1F">
              <w:t>w</w:t>
            </w:r>
            <w:r w:rsidRPr="006C7E1F">
              <w:t>orkplace refuelling equipment and fuel products</w:t>
            </w:r>
          </w:p>
          <w:p w:rsidR="00000000" w:rsidRPr="006C7E1F" w:rsidP="006C7E1F">
            <w:pPr>
              <w:pStyle w:val="ListBullet2"/>
            </w:pPr>
            <w:r w:rsidRPr="006C7E1F">
              <w:t>safety equipment</w:t>
            </w:r>
          </w:p>
          <w:p w:rsidR="00000000" w:rsidRPr="006C7E1F" w:rsidP="006C7E1F">
            <w:pPr>
              <w:pStyle w:val="ListBullet2"/>
            </w:pPr>
            <w:r w:rsidRPr="006C7E1F">
              <w:t>specific workplace operating procedures and publications</w:t>
            </w:r>
          </w:p>
          <w:p w:rsidR="00000000" w:rsidRPr="006C7E1F" w:rsidP="006C7E1F">
            <w:pPr>
              <w:pStyle w:val="ListBullet"/>
            </w:pPr>
            <w:r w:rsidRPr="006C7E1F">
              <w:t>applicable documentation including operational procedures, regulations, codes of practice and operation manuals.</w:t>
            </w:r>
          </w:p>
        </w:tc>
      </w:tr>
    </w:tbl>
    <w:p w:rsidR="00000000" w:rsidRPr="006C7E1F" w:rsidP="006C7E1F">
      <w:pPr>
        <w:pStyle w:val="NoPaddingFontSize1"/>
      </w:pPr>
    </w:p>
    <w:p w:rsidR="00000000" w:rsidRPr="006C7E1F" w:rsidP="006C7E1F">
      <w:pPr>
        <w:pStyle w:val="AllowPageBreak"/>
      </w:pPr>
    </w:p>
    <w:p w:rsidR="00000000" w:rsidRPr="006C7E1F" w:rsidP="006C7E1F">
      <w:pPr>
        <w:pStyle w:val="Heading1"/>
      </w:pPr>
      <w:bookmarkStart w:id="15" w:name="O_958398"/>
      <w:bookmarkEnd w:id="15"/>
      <w:r w:rsidRPr="006C7E1F">
        <w:t>Links</w:t>
      </w:r>
    </w:p>
    <w:p w:rsidR="00000000" w:rsidRPr="006C7E1F" w:rsidP="00D65FD7">
      <w:pPr>
        <w:pStyle w:val="BodyText"/>
      </w:pPr>
      <w:r w:rsidRPr="006C7E1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354FA">
        <w:rPr>
          <w:rStyle w:val="Hyperlink"/>
        </w:rPr>
        <w:t>https://vetnet.gov.au/Pages/TrainingDocs.aspx?q=6bdbab1e-11ed-4bc9-9cba-9e1a55d4e4a9</w:t>
      </w:r>
      <w:r>
        <w:fldChar w:fldCharType="end"/>
      </w:r>
    </w:p>
    <w:p w:rsidR="00000000" w:rsidRPr="006C7E1F" w:rsidP="006C7E1F"/>
    <w:sectPr w:rsidSect="006C7E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E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E1F" w:rsidRPr="00D65FD7" w:rsidP="00D65F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E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FD7" w:rsidP="006C7E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5FD7" w:rsidP="006C7E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65FD7" w:rsidP="006C7E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E1F" w:rsidP="006C7E1F">
    <w:pPr>
      <w:pStyle w:val="Footer"/>
      <w:framePr w:wrap="around"/>
    </w:pPr>
    <w:r>
      <w:fldChar w:fldCharType="begin"/>
    </w:r>
    <w:r>
      <w:instrText xml:space="preserve"> DOCPROPERTY  Subject  \* MERGEFORMAT </w:instrText>
    </w:r>
    <w:r>
      <w:fldChar w:fldCharType="separate"/>
    </w:r>
    <w:r w:rsidR="00D65FD7">
      <w:t>Approved</w:t>
    </w:r>
    <w:r w:rsidR="00D65FD7">
      <w:fldChar w:fldCharType="end"/>
    </w:r>
    <w:r>
      <w:tab/>
      <w:t xml:space="preserve">Page </w:t>
    </w:r>
    <w:r>
      <w:fldChar w:fldCharType="begin"/>
    </w:r>
    <w:r>
      <w:instrText xml:space="preserve"> PAGE  \* Arabic  \* MERGEFORMAT </w:instrText>
    </w:r>
    <w:r>
      <w:fldChar w:fldCharType="separate"/>
    </w:r>
    <w:r w:rsidR="00D65FD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5FD7">
      <w:rPr>
        <w:noProof/>
      </w:rPr>
      <w:t>4</w:t>
    </w:r>
    <w:r>
      <w:rPr>
        <w:noProof/>
      </w:rPr>
      <w:fldChar w:fldCharType="end"/>
    </w:r>
  </w:p>
  <w:p w:rsidR="006C7E1F" w:rsidP="006C7E1F">
    <w:pPr>
      <w:pStyle w:val="Footer"/>
      <w:framePr w:wrap="around"/>
    </w:pPr>
    <w:r>
      <w:t xml:space="preserve">© Commonwealth of Australia, </w:t>
    </w:r>
    <w:r>
      <w:fldChar w:fldCharType="begin"/>
    </w:r>
    <w:r>
      <w:instrText xml:space="preserve"> DATE  \@ "yyyy"  \* MERGEFORMAT </w:instrText>
    </w:r>
    <w:r>
      <w:fldChar w:fldCharType="separate"/>
    </w:r>
    <w:r w:rsidR="00D65FD7">
      <w:rPr>
        <w:noProof/>
      </w:rPr>
      <w:t>2025</w:t>
    </w:r>
    <w:r>
      <w:fldChar w:fldCharType="end"/>
    </w:r>
    <w:r>
      <w:tab/>
    </w:r>
    <w:r>
      <w:fldChar w:fldCharType="begin"/>
    </w:r>
    <w:r>
      <w:instrText xml:space="preserve"> DOCPROPERTY  Author  \* MERGEFORMAT </w:instrText>
    </w:r>
    <w:r>
      <w:fldChar w:fldCharType="separate"/>
    </w:r>
    <w:r w:rsidR="00D65FD7">
      <w:t>Public Skills Australia</w:t>
    </w:r>
    <w:r w:rsidR="00D65FD7">
      <w:fldChar w:fldCharType="end"/>
    </w:r>
  </w:p>
  <w:p w:rsidR="006C7E1F" w:rsidP="006C7E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E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F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7E1F" w:rsidRPr="00D65FD7" w:rsidP="00D65F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E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FD7" w:rsidRPr="002D2AF8" w:rsidP="006C7E1F">
    <w:pPr>
      <w:pStyle w:val="Header"/>
      <w:framePr w:wrap="around"/>
    </w:pPr>
    <w:r>
      <w:fldChar w:fldCharType="begin"/>
    </w:r>
    <w:r>
      <w:instrText xml:space="preserve"> TITLE   \* MERGEFORMAT </w:instrText>
    </w:r>
    <w:r>
      <w:fldChar w:fldCharType="separate"/>
    </w:r>
    <w:r>
      <w:t>DEFPET001 Conduct field refuelling operations from a bulk fuel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5FD7" w:rsidP="006C7E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E1F" w:rsidRPr="002D2AF8" w:rsidP="006C7E1F">
    <w:pPr>
      <w:pStyle w:val="Header"/>
      <w:framePr w:wrap="around"/>
    </w:pPr>
    <w:r>
      <w:fldChar w:fldCharType="begin"/>
    </w:r>
    <w:r>
      <w:instrText xml:space="preserve"> TITLE   \* MERGEFORMAT </w:instrText>
    </w:r>
    <w:r>
      <w:fldChar w:fldCharType="separate"/>
    </w:r>
    <w:r w:rsidR="00D65FD7">
      <w:t>DEFPET001 Conduct field refuelling operations from a bulk fuel installation</w:t>
    </w:r>
    <w:r w:rsidR="00D65FD7">
      <w:fldChar w:fldCharType="end"/>
    </w:r>
    <w:r>
      <w:tab/>
      <w:t xml:space="preserve">Date this document was generated: </w:t>
    </w:r>
    <w:r>
      <w:fldChar w:fldCharType="begin"/>
    </w:r>
    <w:r>
      <w:instrText xml:space="preserve"> CREATEDATE  \@ "d MMMM yyyy"  \* MERGEFORMAT </w:instrText>
    </w:r>
    <w:r>
      <w:fldChar w:fldCharType="separate"/>
    </w:r>
    <w:r w:rsidR="00D65FD7">
      <w:rPr>
        <w:noProof/>
      </w:rPr>
      <w:t>2 March 2025</w:t>
    </w:r>
    <w:r>
      <w:fldChar w:fldCharType="end"/>
    </w:r>
  </w:p>
  <w:p w:rsidR="006C7E1F" w:rsidP="006C7E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0699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128A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EA5E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E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7E1F"/>
    <w:pPr>
      <w:spacing w:before="360" w:after="60"/>
      <w:outlineLvl w:val="0"/>
    </w:pPr>
    <w:rPr>
      <w:sz w:val="32"/>
    </w:rPr>
  </w:style>
  <w:style w:type="paragraph" w:styleId="Heading2">
    <w:name w:val="heading 2"/>
    <w:basedOn w:val="HeadingBase"/>
    <w:next w:val="BodyText"/>
    <w:link w:val="Heading2Char"/>
    <w:qFormat/>
    <w:rsid w:val="006C7E1F"/>
    <w:pPr>
      <w:keepLines/>
      <w:spacing w:before="240" w:after="120"/>
      <w:outlineLvl w:val="1"/>
    </w:pPr>
    <w:rPr>
      <w:sz w:val="28"/>
      <w:szCs w:val="40"/>
    </w:rPr>
  </w:style>
  <w:style w:type="paragraph" w:styleId="Heading3">
    <w:name w:val="heading 3"/>
    <w:basedOn w:val="HeadingBase"/>
    <w:next w:val="BodyText"/>
    <w:link w:val="Heading3Char"/>
    <w:qFormat/>
    <w:rsid w:val="006C7E1F"/>
    <w:pPr>
      <w:spacing w:before="180" w:after="120"/>
      <w:outlineLvl w:val="2"/>
    </w:pPr>
    <w:rPr>
      <w:spacing w:val="-10"/>
      <w:kern w:val="32"/>
    </w:rPr>
  </w:style>
  <w:style w:type="paragraph" w:styleId="Heading4">
    <w:name w:val="heading 4"/>
    <w:basedOn w:val="HeadingBase"/>
    <w:next w:val="BodyText"/>
    <w:link w:val="Heading4Char"/>
    <w:qFormat/>
    <w:rsid w:val="006C7E1F"/>
    <w:pPr>
      <w:spacing w:before="160" w:after="120"/>
      <w:outlineLvl w:val="3"/>
    </w:pPr>
    <w:rPr>
      <w:sz w:val="22"/>
    </w:rPr>
  </w:style>
  <w:style w:type="paragraph" w:styleId="Heading5">
    <w:name w:val="heading 5"/>
    <w:basedOn w:val="HeadingBase"/>
    <w:next w:val="Normal"/>
    <w:link w:val="Heading5Char"/>
    <w:qFormat/>
    <w:rsid w:val="006C7E1F"/>
    <w:pPr>
      <w:spacing w:before="80"/>
      <w:outlineLvl w:val="4"/>
    </w:pPr>
    <w:rPr>
      <w:color w:val="918585"/>
      <w:sz w:val="20"/>
    </w:rPr>
  </w:style>
  <w:style w:type="paragraph" w:styleId="Heading6">
    <w:name w:val="heading 6"/>
    <w:basedOn w:val="HeadingBase"/>
    <w:next w:val="Normal"/>
    <w:link w:val="Heading6Char"/>
    <w:qFormat/>
    <w:rsid w:val="006C7E1F"/>
    <w:pPr>
      <w:spacing w:before="60"/>
      <w:outlineLvl w:val="5"/>
    </w:pPr>
    <w:rPr>
      <w:color w:val="918585"/>
      <w:sz w:val="20"/>
    </w:rPr>
  </w:style>
  <w:style w:type="paragraph" w:styleId="Heading7">
    <w:name w:val="heading 7"/>
    <w:basedOn w:val="Normal"/>
    <w:next w:val="Normal"/>
    <w:link w:val="Heading7Char"/>
    <w:qFormat/>
    <w:rsid w:val="006C7E1F"/>
    <w:pPr>
      <w:ind w:left="720"/>
      <w:outlineLvl w:val="6"/>
    </w:pPr>
    <w:rPr>
      <w:i/>
    </w:rPr>
  </w:style>
  <w:style w:type="paragraph" w:styleId="Heading8">
    <w:name w:val="heading 8"/>
    <w:basedOn w:val="Normal"/>
    <w:next w:val="Normal"/>
    <w:link w:val="Heading8Char"/>
    <w:qFormat/>
    <w:rsid w:val="006C7E1F"/>
    <w:pPr>
      <w:ind w:left="720"/>
      <w:outlineLvl w:val="7"/>
    </w:pPr>
    <w:rPr>
      <w:i/>
    </w:rPr>
  </w:style>
  <w:style w:type="paragraph" w:styleId="Heading9">
    <w:name w:val="heading 9"/>
    <w:basedOn w:val="Normal"/>
    <w:next w:val="Normal"/>
    <w:link w:val="Heading9Char"/>
    <w:qFormat/>
    <w:rsid w:val="006C7E1F"/>
    <w:pPr>
      <w:ind w:left="720"/>
      <w:outlineLvl w:val="8"/>
    </w:pPr>
    <w:rPr>
      <w:i/>
    </w:rPr>
  </w:style>
  <w:style w:type="character" w:default="1" w:styleId="DefaultParagraphFont">
    <w:name w:val="Default Paragraph Font"/>
    <w:uiPriority w:val="1"/>
    <w:unhideWhenUsed/>
    <w:rsid w:val="006C7E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E1F"/>
  </w:style>
  <w:style w:type="character" w:customStyle="1" w:styleId="Heading1Char">
    <w:name w:val="Heading 1 Char"/>
    <w:basedOn w:val="DefaultParagraphFont"/>
    <w:link w:val="Heading1"/>
    <w:rsid w:val="006C7E1F"/>
    <w:rPr>
      <w:rFonts w:ascii="Times New Roman" w:eastAsia="Times New Roman" w:hAnsi="Times New Roman" w:cs="Times New Roman"/>
      <w:b/>
      <w:sz w:val="32"/>
      <w:szCs w:val="20"/>
      <w:lang w:eastAsia="en-US"/>
    </w:rPr>
  </w:style>
  <w:style w:type="paragraph" w:styleId="BodyText">
    <w:name w:val="Body Text"/>
    <w:basedOn w:val="Normal"/>
    <w:link w:val="BodyTextChar"/>
    <w:rsid w:val="006C7E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7E1F"/>
    <w:rPr>
      <w:rFonts w:ascii="Times New Roman" w:eastAsia="Times New Roman" w:hAnsi="Times New Roman" w:cs="Times New Roman"/>
      <w:sz w:val="24"/>
      <w:lang w:eastAsia="en-US"/>
    </w:rPr>
  </w:style>
  <w:style w:type="paragraph" w:styleId="ListBullet">
    <w:name w:val="List Bullet"/>
    <w:basedOn w:val="List"/>
    <w:rsid w:val="006C7E1F"/>
    <w:pPr>
      <w:numPr>
        <w:numId w:val="13"/>
      </w:numPr>
      <w:tabs>
        <w:tab w:val="clear" w:pos="340"/>
      </w:tabs>
      <w:spacing w:before="40" w:after="40"/>
    </w:pPr>
  </w:style>
  <w:style w:type="character" w:customStyle="1" w:styleId="SpecialBold">
    <w:name w:val="Special Bold"/>
    <w:basedOn w:val="DefaultParagraphFont"/>
    <w:rsid w:val="006C7E1F"/>
    <w:rPr>
      <w:b/>
      <w:spacing w:val="0"/>
    </w:rPr>
  </w:style>
  <w:style w:type="paragraph" w:styleId="ListBullet2">
    <w:name w:val="List Bullet 2"/>
    <w:basedOn w:val="List2"/>
    <w:rsid w:val="006C7E1F"/>
    <w:pPr>
      <w:numPr>
        <w:numId w:val="14"/>
      </w:numPr>
      <w:tabs>
        <w:tab w:val="clear" w:pos="680"/>
      </w:tabs>
    </w:pPr>
  </w:style>
  <w:style w:type="paragraph" w:customStyle="1" w:styleId="SuperHeading">
    <w:name w:val="SuperHeading"/>
    <w:basedOn w:val="Normal"/>
    <w:rsid w:val="006C7E1F"/>
    <w:pPr>
      <w:spacing w:before="240" w:after="120"/>
      <w:outlineLvl w:val="0"/>
    </w:pPr>
    <w:rPr>
      <w:rFonts w:ascii="Times New Roman" w:hAnsi="Times New Roman"/>
      <w:b/>
      <w:sz w:val="32"/>
    </w:rPr>
  </w:style>
  <w:style w:type="paragraph" w:customStyle="1" w:styleId="AllowPageBreak">
    <w:name w:val="AllowPageBreak"/>
    <w:rsid w:val="006C7E1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7E1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C7E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E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7E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7E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E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E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7E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7E1F"/>
    <w:rPr>
      <w:rFonts w:ascii="Courier New" w:eastAsia="Times New Roman" w:hAnsi="Courier New" w:cs="Times New Roman"/>
      <w:i/>
      <w:szCs w:val="20"/>
      <w:lang w:eastAsia="en-US"/>
    </w:rPr>
  </w:style>
  <w:style w:type="paragraph" w:customStyle="1" w:styleId="HeadingBase">
    <w:name w:val="Heading Base"/>
    <w:rsid w:val="006C7E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E1F"/>
    <w:pPr>
      <w:tabs>
        <w:tab w:val="right" w:leader="dot" w:pos="9072"/>
      </w:tabs>
      <w:ind w:left="567"/>
    </w:pPr>
    <w:rPr>
      <w:szCs w:val="22"/>
    </w:rPr>
  </w:style>
  <w:style w:type="paragraph" w:customStyle="1" w:styleId="TOCBase">
    <w:name w:val="TOC Base"/>
    <w:rsid w:val="006C7E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E1F"/>
    <w:pPr>
      <w:tabs>
        <w:tab w:val="right" w:leader="dot" w:pos="9072"/>
      </w:tabs>
      <w:spacing w:before="40" w:after="40"/>
      <w:ind w:left="284"/>
    </w:pPr>
    <w:rPr>
      <w:rFonts w:ascii="Times New Roman" w:hAnsi="Times New Roman"/>
    </w:rPr>
  </w:style>
  <w:style w:type="paragraph" w:styleId="TOC1">
    <w:name w:val="toc 1"/>
    <w:basedOn w:val="TOCBase"/>
    <w:next w:val="Normal"/>
    <w:rsid w:val="006C7E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7E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E1F"/>
    <w:rPr>
      <w:rFonts w:ascii="Times New Roman" w:eastAsia="Times New Roman" w:hAnsi="Times New Roman" w:cs="Times New Roman"/>
      <w:sz w:val="16"/>
      <w:lang w:eastAsia="en-US"/>
    </w:rPr>
  </w:style>
  <w:style w:type="paragraph" w:styleId="Title">
    <w:name w:val="Title"/>
    <w:basedOn w:val="HeadingBase"/>
    <w:link w:val="TitleChar"/>
    <w:qFormat/>
    <w:rsid w:val="006C7E1F"/>
    <w:pPr>
      <w:spacing w:before="5040"/>
      <w:jc w:val="center"/>
    </w:pPr>
    <w:rPr>
      <w:sz w:val="48"/>
      <w:szCs w:val="72"/>
      <w:lang w:val="en-US"/>
    </w:rPr>
  </w:style>
  <w:style w:type="character" w:customStyle="1" w:styleId="TitleChar">
    <w:name w:val="Title Char"/>
    <w:basedOn w:val="DefaultParagraphFont"/>
    <w:link w:val="Title"/>
    <w:rsid w:val="006C7E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E1F"/>
    <w:pPr>
      <w:tabs>
        <w:tab w:val="left" w:pos="3600"/>
        <w:tab w:val="left" w:pos="3958"/>
      </w:tabs>
    </w:pPr>
  </w:style>
  <w:style w:type="paragraph" w:styleId="List">
    <w:name w:val="List"/>
    <w:basedOn w:val="BodyText"/>
    <w:next w:val="BodyText"/>
    <w:rsid w:val="006C7E1F"/>
    <w:pPr>
      <w:tabs>
        <w:tab w:val="left" w:pos="340"/>
      </w:tabs>
      <w:spacing w:before="60" w:after="60"/>
      <w:ind w:left="340" w:hanging="340"/>
    </w:pPr>
  </w:style>
  <w:style w:type="paragraph" w:customStyle="1" w:styleId="Note">
    <w:name w:val="Note"/>
    <w:basedOn w:val="BodyText"/>
    <w:rsid w:val="006C7E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7E1F"/>
    <w:pPr>
      <w:framePr w:wrap="auto" w:hAnchor="text" w:y="6049"/>
    </w:pPr>
    <w:rPr>
      <w:color w:val="000000"/>
      <w:sz w:val="40"/>
    </w:rPr>
  </w:style>
  <w:style w:type="paragraph" w:customStyle="1" w:styleId="TOCTitle">
    <w:name w:val="TOCTitle"/>
    <w:basedOn w:val="Heading1"/>
    <w:rsid w:val="006C7E1F"/>
    <w:pPr>
      <w:spacing w:after="240"/>
      <w:jc w:val="center"/>
      <w:outlineLvl w:val="9"/>
    </w:pPr>
    <w:rPr>
      <w:caps/>
    </w:rPr>
  </w:style>
  <w:style w:type="paragraph" w:customStyle="1" w:styleId="Version">
    <w:name w:val="Version"/>
    <w:rsid w:val="006C7E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7E1F"/>
    <w:pPr>
      <w:keepNext w:val="0"/>
      <w:tabs>
        <w:tab w:val="right" w:pos="4176"/>
      </w:tabs>
      <w:ind w:left="198" w:hanging="198"/>
    </w:pPr>
    <w:rPr>
      <w:rFonts w:ascii="Garamond" w:hAnsi="Garamond"/>
    </w:rPr>
  </w:style>
  <w:style w:type="paragraph" w:styleId="IndexHeading">
    <w:name w:val="index heading"/>
    <w:basedOn w:val="Normal"/>
    <w:next w:val="Index1"/>
    <w:semiHidden/>
    <w:rsid w:val="006C7E1F"/>
    <w:pPr>
      <w:spacing w:before="120" w:after="120"/>
    </w:pPr>
    <w:rPr>
      <w:rFonts w:ascii="Arial" w:hAnsi="Arial"/>
      <w:b/>
      <w:color w:val="918585"/>
      <w:sz w:val="24"/>
    </w:rPr>
  </w:style>
  <w:style w:type="paragraph" w:styleId="Header">
    <w:name w:val="header"/>
    <w:basedOn w:val="Normal"/>
    <w:link w:val="HeaderChar"/>
    <w:rsid w:val="006C7E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E1F"/>
    <w:rPr>
      <w:rFonts w:ascii="Times New Roman" w:eastAsia="Times New Roman" w:hAnsi="Times New Roman" w:cs="Times New Roman"/>
      <w:sz w:val="16"/>
      <w:szCs w:val="20"/>
      <w:lang w:val="en-GB" w:eastAsia="en-US"/>
    </w:rPr>
  </w:style>
  <w:style w:type="paragraph" w:customStyle="1" w:styleId="Chapter">
    <w:name w:val="Chapter"/>
    <w:basedOn w:val="Normal"/>
    <w:rsid w:val="006C7E1F"/>
    <w:pPr>
      <w:spacing w:before="240"/>
    </w:pPr>
    <w:rPr>
      <w:rFonts w:ascii="Times New Roman" w:hAnsi="Times New Roman"/>
      <w:smallCaps/>
      <w:spacing w:val="80"/>
      <w:sz w:val="28"/>
    </w:rPr>
  </w:style>
  <w:style w:type="paragraph" w:customStyle="1" w:styleId="InChapter">
    <w:name w:val="InChapter"/>
    <w:basedOn w:val="Heading3"/>
    <w:rsid w:val="006C7E1F"/>
    <w:pPr>
      <w:spacing w:after="240"/>
      <w:outlineLvl w:val="9"/>
    </w:pPr>
    <w:rPr>
      <w:noProof/>
    </w:rPr>
  </w:style>
  <w:style w:type="paragraph" w:styleId="Index2">
    <w:name w:val="index 2"/>
    <w:basedOn w:val="Normal"/>
    <w:next w:val="Normal"/>
    <w:semiHidden/>
    <w:rsid w:val="006C7E1F"/>
    <w:pPr>
      <w:tabs>
        <w:tab w:val="right" w:pos="4176"/>
      </w:tabs>
      <w:ind w:left="568" w:hanging="284"/>
    </w:pPr>
    <w:rPr>
      <w:rFonts w:ascii="Garamond" w:hAnsi="Garamond"/>
    </w:rPr>
  </w:style>
  <w:style w:type="paragraph" w:customStyle="1" w:styleId="Byline">
    <w:name w:val="Byline"/>
    <w:rsid w:val="006C7E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E1F"/>
    <w:pPr>
      <w:tabs>
        <w:tab w:val="clear" w:pos="3600"/>
        <w:tab w:val="clear" w:pos="3958"/>
      </w:tabs>
      <w:jc w:val="right"/>
    </w:pPr>
  </w:style>
  <w:style w:type="character" w:styleId="Emphasis">
    <w:name w:val="Emphasis"/>
    <w:basedOn w:val="DefaultParagraphFont"/>
    <w:qFormat/>
    <w:rsid w:val="006C7E1F"/>
    <w:rPr>
      <w:i/>
    </w:rPr>
  </w:style>
  <w:style w:type="paragraph" w:styleId="Caption">
    <w:name w:val="caption"/>
    <w:basedOn w:val="BodyText"/>
    <w:next w:val="Normal"/>
    <w:qFormat/>
    <w:rsid w:val="006C7E1F"/>
    <w:pPr>
      <w:framePr w:w="2268" w:hSpace="181" w:vSpace="181" w:wrap="around" w:vAnchor="text" w:hAnchor="page" w:x="1135" w:y="285" w:anchorLock="1"/>
    </w:pPr>
    <w:rPr>
      <w:i/>
    </w:rPr>
  </w:style>
  <w:style w:type="paragraph" w:customStyle="1" w:styleId="MiniTOCTitle">
    <w:name w:val="MiniTOCTitle"/>
    <w:basedOn w:val="Heading4"/>
    <w:rsid w:val="006C7E1F"/>
    <w:pPr>
      <w:spacing w:before="240"/>
      <w:outlineLvl w:val="9"/>
    </w:pPr>
    <w:rPr>
      <w:noProof/>
      <w:sz w:val="24"/>
    </w:rPr>
  </w:style>
  <w:style w:type="paragraph" w:customStyle="1" w:styleId="MiniTOCItem">
    <w:name w:val="MiniTOCItem"/>
    <w:basedOn w:val="ListBullet"/>
    <w:rsid w:val="006C7E1F"/>
    <w:pPr>
      <w:numPr>
        <w:numId w:val="0"/>
      </w:numPr>
      <w:tabs>
        <w:tab w:val="right" w:leader="dot" w:pos="6521"/>
      </w:tabs>
      <w:spacing w:before="0" w:after="0"/>
    </w:pPr>
  </w:style>
  <w:style w:type="paragraph" w:customStyle="1" w:styleId="TOFTitle">
    <w:name w:val="TOFTitle"/>
    <w:basedOn w:val="TOCTitle"/>
    <w:rsid w:val="006C7E1F"/>
  </w:style>
  <w:style w:type="paragraph" w:styleId="TableofFigures">
    <w:name w:val="table of figures"/>
    <w:basedOn w:val="Normal"/>
    <w:next w:val="Normal"/>
    <w:semiHidden/>
    <w:rsid w:val="006C7E1F"/>
    <w:pPr>
      <w:tabs>
        <w:tab w:val="right" w:leader="dot" w:pos="9072"/>
      </w:tabs>
      <w:ind w:left="970" w:hanging="403"/>
    </w:pPr>
    <w:rPr>
      <w:rFonts w:ascii="Times New Roman" w:hAnsi="Times New Roman"/>
      <w:b/>
    </w:rPr>
  </w:style>
  <w:style w:type="paragraph" w:styleId="ListNumber">
    <w:name w:val="List Number"/>
    <w:basedOn w:val="List"/>
    <w:rsid w:val="006C7E1F"/>
    <w:pPr>
      <w:numPr>
        <w:numId w:val="16"/>
      </w:numPr>
      <w:tabs>
        <w:tab w:val="clear" w:pos="340"/>
      </w:tabs>
    </w:pPr>
  </w:style>
  <w:style w:type="character" w:customStyle="1" w:styleId="WingdingSymbols">
    <w:name w:val="Wingding Symbols"/>
    <w:rsid w:val="006C7E1F"/>
    <w:rPr>
      <w:rFonts w:ascii="Wingdings" w:hAnsi="Wingdings"/>
    </w:rPr>
  </w:style>
  <w:style w:type="paragraph" w:customStyle="1" w:styleId="TableHeading">
    <w:name w:val="Table Heading"/>
    <w:basedOn w:val="HeadingBase"/>
    <w:rsid w:val="006C7E1F"/>
    <w:pPr>
      <w:keepLines/>
      <w:pBdr>
        <w:bottom w:val="single" w:sz="6" w:space="1" w:color="918585"/>
      </w:pBdr>
      <w:spacing w:before="240"/>
    </w:pPr>
  </w:style>
  <w:style w:type="character" w:customStyle="1" w:styleId="HotSpot">
    <w:name w:val="HotSpot"/>
    <w:rsid w:val="006C7E1F"/>
    <w:rPr>
      <w:color w:val="0033CC"/>
      <w:u w:val="none"/>
    </w:rPr>
  </w:style>
  <w:style w:type="paragraph" w:customStyle="1" w:styleId="BodyTextRight">
    <w:name w:val="Body Text Right"/>
    <w:basedOn w:val="BodyText"/>
    <w:rsid w:val="006C7E1F"/>
    <w:pPr>
      <w:spacing w:before="0" w:after="0"/>
      <w:jc w:val="right"/>
    </w:pPr>
  </w:style>
  <w:style w:type="paragraph" w:styleId="Index3">
    <w:name w:val="index 3"/>
    <w:basedOn w:val="ListNumber2"/>
    <w:next w:val="Normal"/>
    <w:semiHidden/>
    <w:rsid w:val="006C7E1F"/>
    <w:pPr>
      <w:numPr>
        <w:numId w:val="0"/>
      </w:numPr>
      <w:tabs>
        <w:tab w:val="right" w:leader="dot" w:pos="4176"/>
      </w:tabs>
    </w:pPr>
  </w:style>
  <w:style w:type="paragraph" w:styleId="ListNumber2">
    <w:name w:val="List Number 2"/>
    <w:basedOn w:val="List2"/>
    <w:rsid w:val="006C7E1F"/>
    <w:pPr>
      <w:numPr>
        <w:numId w:val="11"/>
      </w:numPr>
      <w:tabs>
        <w:tab w:val="clear" w:pos="1060"/>
      </w:tabs>
    </w:pPr>
  </w:style>
  <w:style w:type="paragraph" w:customStyle="1" w:styleId="MarginNote">
    <w:name w:val="Margin Note"/>
    <w:basedOn w:val="BodyText"/>
    <w:rsid w:val="006C7E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E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E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7E1F"/>
    <w:rPr>
      <w:sz w:val="32"/>
    </w:rPr>
  </w:style>
  <w:style w:type="paragraph" w:customStyle="1" w:styleId="HeadingProcedure">
    <w:name w:val="Heading Procedure"/>
    <w:basedOn w:val="HeadingBase"/>
    <w:next w:val="Normal"/>
    <w:rsid w:val="006C7E1F"/>
    <w:pPr>
      <w:tabs>
        <w:tab w:val="left" w:pos="0"/>
      </w:tabs>
      <w:spacing w:before="120" w:after="60"/>
    </w:pPr>
    <w:rPr>
      <w:i/>
      <w:color w:val="918585"/>
      <w:sz w:val="22"/>
    </w:rPr>
  </w:style>
  <w:style w:type="paragraph" w:customStyle="1" w:styleId="TableBodyText">
    <w:name w:val="Table Body Text"/>
    <w:basedOn w:val="BodyText"/>
    <w:rsid w:val="006C7E1F"/>
    <w:pPr>
      <w:spacing w:before="60" w:after="60"/>
    </w:pPr>
  </w:style>
  <w:style w:type="paragraph" w:styleId="ListContinue">
    <w:name w:val="List Continue"/>
    <w:basedOn w:val="List"/>
    <w:rsid w:val="006C7E1F"/>
    <w:pPr>
      <w:ind w:firstLine="0"/>
    </w:pPr>
  </w:style>
  <w:style w:type="paragraph" w:customStyle="1" w:styleId="ListNote">
    <w:name w:val="List Note"/>
    <w:basedOn w:val="List"/>
    <w:rsid w:val="006C7E1F"/>
    <w:pPr>
      <w:pBdr>
        <w:top w:val="single" w:sz="6" w:space="2" w:color="918585"/>
        <w:bottom w:val="single" w:sz="6" w:space="2" w:color="918585"/>
      </w:pBdr>
      <w:tabs>
        <w:tab w:val="left" w:pos="1021"/>
      </w:tabs>
      <w:ind w:firstLine="0"/>
    </w:pPr>
  </w:style>
  <w:style w:type="paragraph" w:customStyle="1" w:styleId="Warning">
    <w:name w:val="Warning"/>
    <w:basedOn w:val="BodyText"/>
    <w:rsid w:val="006C7E1F"/>
    <w:pPr>
      <w:shd w:val="clear" w:color="auto" w:fill="D9D9D9"/>
      <w:tabs>
        <w:tab w:val="left" w:pos="992"/>
      </w:tabs>
      <w:ind w:left="119" w:right="119"/>
    </w:pPr>
    <w:rPr>
      <w:sz w:val="20"/>
    </w:rPr>
  </w:style>
  <w:style w:type="paragraph" w:customStyle="1" w:styleId="MarginIcons">
    <w:name w:val="Margin Icons"/>
    <w:basedOn w:val="BodyText"/>
    <w:rsid w:val="006C7E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E1F"/>
    <w:rPr>
      <w:rFonts w:ascii="Courier New" w:hAnsi="Courier New"/>
    </w:rPr>
  </w:style>
  <w:style w:type="paragraph" w:customStyle="1" w:styleId="NoteBullet">
    <w:name w:val="Note Bullet"/>
    <w:basedOn w:val="Note"/>
    <w:rsid w:val="006C7E1F"/>
    <w:pPr>
      <w:tabs>
        <w:tab w:val="clear" w:pos="680"/>
      </w:tabs>
      <w:spacing w:before="60" w:after="60"/>
    </w:pPr>
  </w:style>
  <w:style w:type="paragraph" w:customStyle="1" w:styleId="SubHeading2">
    <w:name w:val="SubHeading2"/>
    <w:basedOn w:val="HeadingBase"/>
    <w:rsid w:val="006C7E1F"/>
    <w:pPr>
      <w:spacing w:before="240" w:after="60"/>
    </w:pPr>
    <w:rPr>
      <w:sz w:val="20"/>
    </w:rPr>
  </w:style>
  <w:style w:type="paragraph" w:customStyle="1" w:styleId="SubHeading1">
    <w:name w:val="SubHeading1"/>
    <w:basedOn w:val="HeadingBase"/>
    <w:rsid w:val="006C7E1F"/>
    <w:pPr>
      <w:spacing w:before="240" w:after="60"/>
    </w:pPr>
    <w:rPr>
      <w:color w:val="918585"/>
      <w:sz w:val="22"/>
    </w:rPr>
  </w:style>
  <w:style w:type="paragraph" w:customStyle="1" w:styleId="SideHeading">
    <w:name w:val="Side Heading"/>
    <w:basedOn w:val="HeadingBase"/>
    <w:rsid w:val="006C7E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E1F"/>
    <w:pPr>
      <w:numPr>
        <w:numId w:val="12"/>
      </w:numPr>
    </w:pPr>
  </w:style>
  <w:style w:type="paragraph" w:styleId="PlainText">
    <w:name w:val="Plain Text"/>
    <w:basedOn w:val="Normal"/>
    <w:link w:val="PlainTextChar"/>
    <w:rsid w:val="006C7E1F"/>
    <w:rPr>
      <w:sz w:val="20"/>
    </w:rPr>
  </w:style>
  <w:style w:type="character" w:customStyle="1" w:styleId="PlainTextChar">
    <w:name w:val="Plain Text Char"/>
    <w:basedOn w:val="DefaultParagraphFont"/>
    <w:link w:val="PlainText"/>
    <w:rsid w:val="006C7E1F"/>
    <w:rPr>
      <w:rFonts w:ascii="Courier New" w:eastAsia="Times New Roman" w:hAnsi="Courier New" w:cs="Times New Roman"/>
      <w:sz w:val="20"/>
      <w:szCs w:val="20"/>
      <w:lang w:eastAsia="en-US"/>
    </w:rPr>
  </w:style>
  <w:style w:type="character" w:customStyle="1" w:styleId="MenuOption">
    <w:name w:val="Menu Option"/>
    <w:basedOn w:val="DefaultParagraphFont"/>
    <w:rsid w:val="006C7E1F"/>
    <w:rPr>
      <w:b/>
      <w:smallCaps/>
    </w:rPr>
  </w:style>
  <w:style w:type="paragraph" w:customStyle="1" w:styleId="TableListNumber">
    <w:name w:val="Table List Number"/>
    <w:basedOn w:val="ListNumber"/>
    <w:rsid w:val="006C7E1F"/>
    <w:pPr>
      <w:numPr>
        <w:numId w:val="0"/>
      </w:numPr>
    </w:pPr>
  </w:style>
  <w:style w:type="paragraph" w:styleId="TOC4">
    <w:name w:val="toc 4"/>
    <w:basedOn w:val="TOCBase"/>
    <w:next w:val="Normal"/>
    <w:semiHidden/>
    <w:rsid w:val="006C7E1F"/>
    <w:pPr>
      <w:tabs>
        <w:tab w:val="right" w:leader="dot" w:pos="9071"/>
      </w:tabs>
      <w:ind w:left="1701"/>
    </w:pPr>
  </w:style>
  <w:style w:type="paragraph" w:customStyle="1" w:styleId="ListAlpha">
    <w:name w:val="List Alpha"/>
    <w:basedOn w:val="List"/>
    <w:rsid w:val="006C7E1F"/>
    <w:pPr>
      <w:numPr>
        <w:numId w:val="10"/>
      </w:numPr>
    </w:pPr>
  </w:style>
  <w:style w:type="paragraph" w:customStyle="1" w:styleId="ListAlpha2">
    <w:name w:val="List Alpha 2"/>
    <w:basedOn w:val="List2"/>
    <w:rsid w:val="006C7E1F"/>
    <w:pPr>
      <w:numPr>
        <w:numId w:val="9"/>
      </w:numPr>
    </w:pPr>
  </w:style>
  <w:style w:type="paragraph" w:styleId="List2">
    <w:name w:val="List 2"/>
    <w:basedOn w:val="BodyText"/>
    <w:rsid w:val="006C7E1F"/>
    <w:pPr>
      <w:tabs>
        <w:tab w:val="left" w:pos="680"/>
      </w:tabs>
      <w:spacing w:before="60" w:after="60"/>
      <w:ind w:left="680" w:hanging="340"/>
    </w:pPr>
  </w:style>
  <w:style w:type="paragraph" w:styleId="List3">
    <w:name w:val="List 3"/>
    <w:basedOn w:val="BodyText"/>
    <w:rsid w:val="006C7E1F"/>
    <w:pPr>
      <w:tabs>
        <w:tab w:val="left" w:pos="1021"/>
      </w:tabs>
      <w:spacing w:before="60" w:after="60"/>
      <w:ind w:left="1020" w:hanging="340"/>
    </w:pPr>
  </w:style>
  <w:style w:type="paragraph" w:styleId="List4">
    <w:name w:val="List 4"/>
    <w:basedOn w:val="BodyText"/>
    <w:rsid w:val="006C7E1F"/>
    <w:pPr>
      <w:tabs>
        <w:tab w:val="left" w:pos="1361"/>
      </w:tabs>
      <w:spacing w:before="60" w:after="60"/>
      <w:ind w:left="1361" w:hanging="340"/>
    </w:pPr>
  </w:style>
  <w:style w:type="paragraph" w:styleId="List5">
    <w:name w:val="List 5"/>
    <w:basedOn w:val="BodyText"/>
    <w:rsid w:val="006C7E1F"/>
    <w:pPr>
      <w:tabs>
        <w:tab w:val="left" w:pos="1701"/>
      </w:tabs>
      <w:spacing w:before="60" w:after="60"/>
      <w:ind w:left="1701" w:hanging="340"/>
    </w:pPr>
  </w:style>
  <w:style w:type="paragraph" w:styleId="ListBullet4">
    <w:name w:val="List Bullet 4"/>
    <w:basedOn w:val="List4"/>
    <w:rsid w:val="006C7E1F"/>
    <w:pPr>
      <w:numPr>
        <w:numId w:val="4"/>
      </w:numPr>
      <w:tabs>
        <w:tab w:val="clear" w:pos="1361"/>
      </w:tabs>
    </w:pPr>
  </w:style>
  <w:style w:type="paragraph" w:styleId="ListBullet5">
    <w:name w:val="List Bullet 5"/>
    <w:basedOn w:val="List5"/>
    <w:rsid w:val="006C7E1F"/>
    <w:pPr>
      <w:numPr>
        <w:numId w:val="5"/>
      </w:numPr>
    </w:pPr>
  </w:style>
  <w:style w:type="paragraph" w:styleId="ListContinue2">
    <w:name w:val="List Continue 2"/>
    <w:basedOn w:val="List2"/>
    <w:rsid w:val="006C7E1F"/>
    <w:pPr>
      <w:ind w:firstLine="0"/>
    </w:pPr>
  </w:style>
  <w:style w:type="paragraph" w:styleId="ListContinue3">
    <w:name w:val="List Continue 3"/>
    <w:basedOn w:val="List3"/>
    <w:rsid w:val="006C7E1F"/>
    <w:pPr>
      <w:ind w:left="1021" w:firstLine="0"/>
    </w:pPr>
  </w:style>
  <w:style w:type="paragraph" w:styleId="ListContinue4">
    <w:name w:val="List Continue 4"/>
    <w:basedOn w:val="List4"/>
    <w:rsid w:val="006C7E1F"/>
    <w:pPr>
      <w:ind w:firstLine="0"/>
    </w:pPr>
  </w:style>
  <w:style w:type="paragraph" w:styleId="ListContinue5">
    <w:name w:val="List Continue 5"/>
    <w:basedOn w:val="List5"/>
    <w:rsid w:val="006C7E1F"/>
    <w:pPr>
      <w:ind w:firstLine="0"/>
    </w:pPr>
  </w:style>
  <w:style w:type="paragraph" w:styleId="ListNumber3">
    <w:name w:val="List Number 3"/>
    <w:basedOn w:val="List3"/>
    <w:rsid w:val="006C7E1F"/>
    <w:pPr>
      <w:numPr>
        <w:numId w:val="6"/>
      </w:numPr>
    </w:pPr>
  </w:style>
  <w:style w:type="paragraph" w:styleId="ListNumber4">
    <w:name w:val="List Number 4"/>
    <w:basedOn w:val="List4"/>
    <w:rsid w:val="006C7E1F"/>
    <w:pPr>
      <w:numPr>
        <w:numId w:val="7"/>
      </w:numPr>
    </w:pPr>
  </w:style>
  <w:style w:type="paragraph" w:styleId="ListNumber5">
    <w:name w:val="List Number 5"/>
    <w:basedOn w:val="List5"/>
    <w:rsid w:val="006C7E1F"/>
    <w:pPr>
      <w:numPr>
        <w:numId w:val="8"/>
      </w:numPr>
    </w:pPr>
  </w:style>
  <w:style w:type="paragraph" w:styleId="BlockText">
    <w:name w:val="Block Text"/>
    <w:basedOn w:val="Normal"/>
    <w:rsid w:val="006C7E1F"/>
    <w:pPr>
      <w:spacing w:after="120"/>
      <w:ind w:left="1440" w:right="1440"/>
    </w:pPr>
  </w:style>
  <w:style w:type="character" w:customStyle="1" w:styleId="Subscript">
    <w:name w:val="Subscript"/>
    <w:basedOn w:val="DefaultParagraphFont"/>
    <w:rsid w:val="006C7E1F"/>
    <w:rPr>
      <w:sz w:val="16"/>
      <w:vertAlign w:val="subscript"/>
    </w:rPr>
  </w:style>
  <w:style w:type="character" w:customStyle="1" w:styleId="Superscript">
    <w:name w:val="Superscript"/>
    <w:basedOn w:val="DefaultParagraphFont"/>
    <w:rsid w:val="006C7E1F"/>
    <w:rPr>
      <w:sz w:val="16"/>
      <w:vertAlign w:val="superscript"/>
    </w:rPr>
  </w:style>
  <w:style w:type="character" w:customStyle="1" w:styleId="Symbols">
    <w:name w:val="Symbols"/>
    <w:basedOn w:val="DefaultParagraphFont"/>
    <w:rsid w:val="006C7E1F"/>
    <w:rPr>
      <w:rFonts w:ascii="Symbol" w:hAnsi="Symbol"/>
    </w:rPr>
  </w:style>
  <w:style w:type="character" w:customStyle="1" w:styleId="MenuOptions">
    <w:name w:val="Menu Options"/>
    <w:basedOn w:val="DefaultParagraphFont"/>
    <w:rsid w:val="006C7E1F"/>
    <w:rPr>
      <w:rFonts w:ascii="Arial Narrow" w:hAnsi="Arial Narrow"/>
      <w:smallCaps/>
    </w:rPr>
  </w:style>
  <w:style w:type="character" w:customStyle="1" w:styleId="Buttons">
    <w:name w:val="Buttons"/>
    <w:basedOn w:val="DefaultParagraphFont"/>
    <w:rsid w:val="006C7E1F"/>
    <w:rPr>
      <w:b/>
    </w:rPr>
  </w:style>
  <w:style w:type="character" w:customStyle="1" w:styleId="Underlined">
    <w:name w:val="Underlined"/>
    <w:basedOn w:val="DefaultParagraphFont"/>
    <w:rsid w:val="006C7E1F"/>
    <w:rPr>
      <w:u w:val="single"/>
    </w:rPr>
  </w:style>
  <w:style w:type="paragraph" w:customStyle="1" w:styleId="TableBodyTextRight">
    <w:name w:val="Table Body Text Right"/>
    <w:basedOn w:val="TableBodyText"/>
    <w:rsid w:val="006C7E1F"/>
    <w:pPr>
      <w:widowControl w:val="0"/>
      <w:autoSpaceDE w:val="0"/>
      <w:autoSpaceDN w:val="0"/>
      <w:adjustRightInd w:val="0"/>
      <w:jc w:val="right"/>
    </w:pPr>
    <w:rPr>
      <w:rFonts w:cs="Arial"/>
      <w:szCs w:val="18"/>
    </w:rPr>
  </w:style>
  <w:style w:type="paragraph" w:customStyle="1" w:styleId="CopyrightText">
    <w:name w:val="Copyright Text"/>
    <w:basedOn w:val="BodyText"/>
    <w:rsid w:val="006C7E1F"/>
    <w:rPr>
      <w:sz w:val="18"/>
    </w:rPr>
  </w:style>
  <w:style w:type="paragraph" w:customStyle="1" w:styleId="BodySmallRight">
    <w:name w:val="Body Small Right"/>
    <w:basedOn w:val="BodyTextRight"/>
    <w:rsid w:val="006C7E1F"/>
    <w:rPr>
      <w:sz w:val="18"/>
      <w:szCs w:val="18"/>
    </w:rPr>
  </w:style>
  <w:style w:type="paragraph" w:customStyle="1" w:styleId="MarginEdition">
    <w:name w:val="Margin Edition"/>
    <w:basedOn w:val="MarginNote"/>
    <w:rsid w:val="006C7E1F"/>
    <w:pPr>
      <w:spacing w:before="0" w:after="0"/>
    </w:pPr>
    <w:rPr>
      <w:rFonts w:ascii="Times New Roman" w:hAnsi="Times New Roman"/>
      <w:color w:val="999999"/>
    </w:rPr>
  </w:style>
  <w:style w:type="paragraph" w:customStyle="1" w:styleId="Spacer">
    <w:name w:val="Spacer"/>
    <w:basedOn w:val="Normal"/>
    <w:rsid w:val="006C7E1F"/>
    <w:rPr>
      <w:sz w:val="2"/>
      <w:szCs w:val="2"/>
    </w:rPr>
  </w:style>
  <w:style w:type="character" w:customStyle="1" w:styleId="Small">
    <w:name w:val="Small"/>
    <w:basedOn w:val="DefaultParagraphFont"/>
    <w:rsid w:val="006C7E1F"/>
    <w:rPr>
      <w:sz w:val="16"/>
    </w:rPr>
  </w:style>
  <w:style w:type="paragraph" w:customStyle="1" w:styleId="WideTable">
    <w:name w:val="Wide Table"/>
    <w:basedOn w:val="Normal"/>
    <w:rsid w:val="006C7E1F"/>
    <w:pPr>
      <w:ind w:left="-1418"/>
    </w:pPr>
    <w:rPr>
      <w:sz w:val="2"/>
      <w:szCs w:val="2"/>
    </w:rPr>
  </w:style>
  <w:style w:type="character" w:styleId="PageNumber">
    <w:name w:val="page number"/>
    <w:basedOn w:val="DefaultParagraphFont"/>
    <w:rsid w:val="006C7E1F"/>
  </w:style>
  <w:style w:type="paragraph" w:styleId="Quote">
    <w:name w:val="Quote"/>
    <w:basedOn w:val="Heading1"/>
    <w:link w:val="QuoteChar"/>
    <w:qFormat/>
    <w:rsid w:val="006C7E1F"/>
    <w:rPr>
      <w:b w:val="0"/>
      <w:sz w:val="72"/>
      <w:szCs w:val="72"/>
      <w:lang w:val="en-NZ"/>
    </w:rPr>
  </w:style>
  <w:style w:type="character" w:customStyle="1" w:styleId="QuoteChar">
    <w:name w:val="Quote Char"/>
    <w:basedOn w:val="DefaultParagraphFont"/>
    <w:link w:val="Quote"/>
    <w:rsid w:val="006C7E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E1F"/>
    <w:pPr>
      <w:pageBreakBefore/>
    </w:pPr>
  </w:style>
  <w:style w:type="paragraph" w:customStyle="1" w:styleId="Border">
    <w:name w:val="Border"/>
    <w:basedOn w:val="Normal"/>
    <w:qFormat/>
    <w:rsid w:val="006C7E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E1F"/>
    <w:rPr>
      <w:b/>
      <w:bCs/>
      <w:i/>
      <w:iCs/>
      <w:color w:val="auto"/>
    </w:rPr>
  </w:style>
  <w:style w:type="paragraph" w:styleId="IntenseQuote">
    <w:name w:val="Intense Quote"/>
    <w:basedOn w:val="Normal"/>
    <w:next w:val="Normal"/>
    <w:link w:val="IntenseQuoteChar"/>
    <w:uiPriority w:val="30"/>
    <w:qFormat/>
    <w:rsid w:val="006C7E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E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7E1F"/>
    <w:rPr>
      <w:smallCaps/>
      <w:color w:val="auto"/>
      <w:u w:val="single"/>
    </w:rPr>
  </w:style>
  <w:style w:type="character" w:styleId="IntenseReference">
    <w:name w:val="Intense Reference"/>
    <w:basedOn w:val="DefaultParagraphFont"/>
    <w:uiPriority w:val="32"/>
    <w:qFormat/>
    <w:rsid w:val="006C7E1F"/>
    <w:rPr>
      <w:b/>
      <w:bCs/>
      <w:smallCaps/>
      <w:color w:val="auto"/>
      <w:spacing w:val="5"/>
      <w:u w:val="single"/>
    </w:rPr>
  </w:style>
  <w:style w:type="paragraph" w:customStyle="1" w:styleId="2ColumnHeading">
    <w:name w:val="2Column Heading"/>
    <w:basedOn w:val="BodyText"/>
    <w:qFormat/>
    <w:rsid w:val="006C7E1F"/>
    <w:pPr>
      <w:spacing w:after="60"/>
      <w:ind w:left="-2268"/>
    </w:pPr>
    <w:rPr>
      <w:b/>
    </w:rPr>
  </w:style>
  <w:style w:type="paragraph" w:customStyle="1" w:styleId="Heading1TOC">
    <w:name w:val="Heading1 TOC"/>
    <w:basedOn w:val="Normal"/>
    <w:qFormat/>
    <w:rsid w:val="006C7E1F"/>
    <w:pPr>
      <w:spacing w:before="240" w:after="120"/>
    </w:pPr>
    <w:rPr>
      <w:rFonts w:ascii="Times New Roman" w:hAnsi="Times New Roman"/>
      <w:b/>
      <w:sz w:val="32"/>
    </w:rPr>
  </w:style>
  <w:style w:type="paragraph" w:customStyle="1" w:styleId="Heading2TOC">
    <w:name w:val="Heading2 TOC"/>
    <w:basedOn w:val="Normal"/>
    <w:qFormat/>
    <w:rsid w:val="006C7E1F"/>
    <w:pPr>
      <w:spacing w:before="240" w:after="60"/>
    </w:pPr>
    <w:rPr>
      <w:rFonts w:ascii="Times New Roman" w:hAnsi="Times New Roman"/>
      <w:b/>
      <w:sz w:val="28"/>
    </w:rPr>
  </w:style>
  <w:style w:type="character" w:customStyle="1" w:styleId="Underline">
    <w:name w:val="Underline"/>
    <w:basedOn w:val="DefaultParagraphFont"/>
    <w:qFormat/>
    <w:rsid w:val="006C7E1F"/>
    <w:rPr>
      <w:u w:val="single"/>
    </w:rPr>
  </w:style>
  <w:style w:type="character" w:customStyle="1" w:styleId="BoldandItalics">
    <w:name w:val="Bold and Italics"/>
    <w:qFormat/>
    <w:rsid w:val="006C7E1F"/>
    <w:rPr>
      <w:b/>
      <w:i/>
      <w:u w:val="none"/>
    </w:rPr>
  </w:style>
  <w:style w:type="paragraph" w:styleId="BalloonText">
    <w:name w:val="Balloon Text"/>
    <w:basedOn w:val="Normal"/>
    <w:link w:val="BalloonTextChar"/>
    <w:rsid w:val="006C7E1F"/>
    <w:rPr>
      <w:rFonts w:ascii="Tahoma" w:hAnsi="Tahoma" w:cs="Tahoma"/>
      <w:sz w:val="16"/>
      <w:szCs w:val="16"/>
    </w:rPr>
  </w:style>
  <w:style w:type="character" w:customStyle="1" w:styleId="BalloonTextChar">
    <w:name w:val="Balloon Text Char"/>
    <w:basedOn w:val="DefaultParagraphFont"/>
    <w:link w:val="BalloonText"/>
    <w:rsid w:val="006C7E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7E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7E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7E1F"/>
    <w:rPr>
      <w:b/>
      <w:color w:val="660033"/>
      <w:spacing w:val="0"/>
    </w:rPr>
  </w:style>
  <w:style w:type="paragraph" w:customStyle="1" w:styleId="Nameditemlist">
    <w:name w:val="Named item list"/>
    <w:basedOn w:val="BodyText"/>
    <w:qFormat/>
    <w:rsid w:val="006C7E1F"/>
    <w:pPr>
      <w:tabs>
        <w:tab w:val="left" w:pos="2835"/>
      </w:tabs>
      <w:ind w:left="2835" w:hanging="2835"/>
    </w:pPr>
  </w:style>
  <w:style w:type="paragraph" w:customStyle="1" w:styleId="BodyTextnopadding">
    <w:name w:val="Body Text no padding"/>
    <w:basedOn w:val="BodyText"/>
    <w:qFormat/>
    <w:rsid w:val="006C7E1F"/>
    <w:pPr>
      <w:spacing w:before="0" w:after="0"/>
    </w:pPr>
  </w:style>
  <w:style w:type="paragraph" w:customStyle="1" w:styleId="BodyTextBold">
    <w:name w:val="Body Text Bold"/>
    <w:basedOn w:val="BodyText"/>
    <w:qFormat/>
    <w:rsid w:val="006C7E1F"/>
    <w:rPr>
      <w:b/>
    </w:rPr>
  </w:style>
  <w:style w:type="character" w:styleId="Hyperlink">
    <w:name w:val="Hyperlink"/>
    <w:basedOn w:val="DefaultParagraphFont"/>
    <w:uiPriority w:val="99"/>
    <w:unhideWhenUsed/>
    <w:rsid w:val="00D65F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915</Words>
  <Characters>6090</Characters>
  <Application>Microsoft Office Word</Application>
  <DocSecurity>0</DocSecurity>
  <Lines>217</Lines>
  <Paragraphs>129</Paragraphs>
  <ScaleCrop>false</ScaleCrop>
  <Company>Author-it Software Corporation Ltd.</Company>
  <LinksUpToDate>false</LinksUpToDate>
  <CharactersWithSpaces>6876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DEFPET001 Conduct field refuelling operations from a bulk fuel installation</dc:title>
  <dc:subject>Approved</dc:subject>
  <dc:creator>Public Skills Australia</dc:creator>
  <cp:keywords>Release: 1</cp:keywords>
  <dc:description>Review Date: 12 April 2008</dc:description>
  <cp:lastModifiedBy>HSD_TPCMSd.prod</cp:lastModifiedBy>
  <cp:revision>3</cp:revision>
  <dcterms:created xsi:type="dcterms:W3CDTF">2025-03-01T20:16:00Z</dcterms:created>
  <dcterms:modified xsi:type="dcterms:W3CDTF">2025-03-01T20:16:00Z</dcterms:modified>
</cp:coreProperties>
</file>