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486" w:rsidP="004B3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DEFMIL148 Assist with the establishment and operation of a field kitchen</w:t>
      </w:r>
      <w:r>
        <w:fldChar w:fldCharType="end"/>
      </w:r>
    </w:p>
    <w:p w:rsidR="004B3486" w:rsidP="004B3486">
      <w:pPr>
        <w:pStyle w:val="Version"/>
        <w:sectPr w:rsidSect="00ED7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1BE" w:rsidP="00ED71BE">
      <w:pPr>
        <w:pStyle w:val="SuperHeading"/>
      </w:pPr>
      <w:r w:rsidRPr="00ED71BE">
        <w:t>DEFMIL148 Assist with the establishment and operation of a field kitchen</w:t>
      </w:r>
    </w:p>
    <w:p w:rsidR="00000000" w:rsidRPr="00ED71BE" w:rsidP="00ED71BE">
      <w:pPr>
        <w:pStyle w:val="Heading1"/>
      </w:pPr>
      <w:bookmarkStart w:id="1" w:name="O_958268"/>
      <w:bookmarkEnd w:id="1"/>
      <w:r w:rsidRPr="00ED71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Release 1. This is the first release of this unit of competency in the DEF Defence Training Package.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2" w:name="O_958269"/>
      <w:bookmarkEnd w:id="2"/>
      <w:r w:rsidRPr="00ED71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This unit specifies the skills and knowledge required to assist with the establishment and operation of a kitchen within a field environment.</w:t>
            </w:r>
          </w:p>
          <w:p w:rsidR="00000000" w:rsidRPr="00ED71BE" w:rsidP="00ED71BE">
            <w:pPr>
              <w:pStyle w:val="BodyText"/>
            </w:pPr>
            <w:r w:rsidRPr="00ED71BE">
              <w:t>It includes assisting to prepare and operate field catering equipment and activities. It also includes maintaining</w:t>
            </w:r>
            <w:r w:rsidRPr="00ED71BE">
              <w:t xml:space="preserve"> food safety and hygiene standards, assisting with waste management, and ceasing field catering operations.</w:t>
            </w:r>
          </w:p>
          <w:p w:rsidR="00000000" w:rsidRPr="00ED71BE" w:rsidP="00ED71BE">
            <w:pPr>
              <w:pStyle w:val="BodyText"/>
            </w:pPr>
            <w:r w:rsidRPr="00ED71BE">
              <w:t>This unit applies to persons working as Defence personnel in a field kitchen environment.</w:t>
            </w:r>
          </w:p>
          <w:p w:rsidR="00000000" w:rsidRPr="00ED71BE" w:rsidP="00ED71BE">
            <w:pPr>
              <w:pStyle w:val="BodyText"/>
            </w:pPr>
            <w:r w:rsidRPr="00ED71BE">
              <w:t>The skills and knowledge described in this unit must be ap</w:t>
            </w:r>
            <w:r w:rsidRPr="00ED71BE">
              <w:t>plied within the legislative, regulatory and policy environment in which they are carried out. Organisational policies and procedures must be consulted and adhered to.</w:t>
            </w:r>
          </w:p>
          <w:p w:rsidR="00000000" w:rsidRPr="00ED71BE" w:rsidP="00ED71BE">
            <w:pPr>
              <w:pStyle w:val="BodyText"/>
            </w:pPr>
            <w:r w:rsidRPr="00ED71BE">
              <w:t>Persons undertaking this unit work under supervision and perform specific tasks in a ran</w:t>
            </w:r>
            <w:r w:rsidRPr="00ED71BE">
              <w:t>ge of contexts that could be unpredictable.</w:t>
            </w:r>
          </w:p>
          <w:p w:rsidR="00000000" w:rsidRPr="00ED71BE" w:rsidP="00ED71BE">
            <w:pPr>
              <w:pStyle w:val="BodyText"/>
            </w:pPr>
            <w:r w:rsidRPr="00ED71BE">
              <w:t>No licensing, legislative or certification requirements apply to this unit at the time of publication.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3" w:name="O_958270"/>
      <w:bookmarkEnd w:id="3"/>
      <w:r w:rsidRPr="00ED71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Not applicable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4" w:name="O_958271"/>
      <w:bookmarkEnd w:id="4"/>
      <w:r w:rsidRPr="00ED71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Military skills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5" w:name="O_958272"/>
      <w:bookmarkEnd w:id="5"/>
      <w:r w:rsidRPr="00ED71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Not applicable.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6" w:name="O_958273"/>
      <w:bookmarkEnd w:id="6"/>
      <w:r w:rsidRPr="00ED71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PERFORMANCE CRITERIA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 xml:space="preserve">Elements describe the essential </w:t>
            </w:r>
            <w:r w:rsidRPr="00ED71B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 xml:space="preserve">Performance criteria describe the performance needed to </w:t>
            </w:r>
            <w:r w:rsidRPr="00ED71BE">
              <w:t>demonstrate achievement of the element.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Prepare for catering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Confirm activity instructions with supervisor and apply, as required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Check equipment and stores for completeness</w:t>
            </w:r>
            <w:r w:rsidRPr="00ED71BE">
              <w:t xml:space="preserve"> and serviceability in accordance with directions and manufacturer specifications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Pack equipment and stores in accordance with directions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Identify hazards, assess risks and implement control measures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Obtain and follow food safety plan during operation activity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Select and use personal protective equipment during field catering operations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Identify, assess and implement environmentally sustainable work practices, as required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Conduct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Safeguard equipment and stores against loss and damages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Select, inspect and operate field catering equipment, and identify and rectify equipment faults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Select and use appropriate safety equipment while op</w:t>
            </w:r>
            <w:r w:rsidRPr="00ED71BE">
              <w:t>erating catering equipment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Follow emergency procedures when incidents/accidents occur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Maintain food safety and hygiene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Maintain personal hygiene when working in a field kitchen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Store food appropriately to avoid spoilage and contamination in accordance with food safety procedures and standards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Maintain cleanliness of field catering equipment and facilities in accordance with operational hygiene procedures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 xml:space="preserve">Dispose of </w:t>
            </w:r>
            <w:r w:rsidRPr="00ED71BE">
              <w:t>kitchen waste in accordance with operational procedures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 xml:space="preserve">Assist with waste </w:t>
            </w:r>
            <w:r w:rsidRPr="00ED71BE">
              <w:rPr>
                <w:rStyle w:val="SpecialBold"/>
              </w:rPr>
              <w:t>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Keep worksite clean and orderly during work operations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Keep waste disposal containers covered and sanitised in accordance with food safety standards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Dispose of waste and take precautions to ensure spilt fuel, lubricants and chemicals do not pollute the environment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rPr>
                <w:rStyle w:val="SpecialBold"/>
              </w:rPr>
              <w:t>Cease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Pack equipment and stores in accordance with operational procedures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Dispose of unused foodstuf</w:t>
            </w:r>
            <w:r w:rsidRPr="00ED71BE">
              <w:t>fs in accordance with food safety standards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t>Refurbish kitchen site and stores in accordance with organisational environmental policies and procedures</w:t>
            </w:r>
          </w:p>
        </w:tc>
      </w:tr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1BE">
            <w:pPr>
              <w:pStyle w:val="BodyText"/>
              <w:rPr>
                <w:lang w:val="en-NZ"/>
              </w:rPr>
            </w:pPr>
            <w:r w:rsidRPr="00ED71B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Clean and maintain equipment in accordance with manufacturer instructions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7" w:name="O_958274"/>
      <w:bookmarkEnd w:id="7"/>
      <w:r w:rsidRPr="00ED71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Foundation skills essential to performance are explicit in the performance criteria of this unit of competency.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8" w:name="O_958275"/>
      <w:bookmarkEnd w:id="8"/>
      <w:r w:rsidRPr="00ED71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Range is restricted to essential operating conditions and any other variables essential to the work environment.</w:t>
            </w:r>
          </w:p>
          <w:p w:rsidR="00000000" w:rsidRPr="00ED71BE" w:rsidP="00ED71BE">
            <w:pPr>
              <w:pStyle w:val="BodyText"/>
            </w:pPr>
            <w:r w:rsidRPr="00ED71BE">
              <w:t>Non-essential conditions may be found in the Companion Volume Implementation Guide.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9" w:name="O_958276"/>
      <w:bookmarkEnd w:id="9"/>
      <w:r w:rsidRPr="00ED71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1BE" w:rsidP="00ED71BE">
            <w:pPr>
              <w:pStyle w:val="BodyText"/>
            </w:pPr>
            <w:r w:rsidRPr="00ED71BE">
              <w:t>This unit repla</w:t>
            </w:r>
            <w:r w:rsidRPr="00ED71BE">
              <w:t>ces and is equivalent to DEFCM305A Assist with the establishment and operation of a field kitchen.</w:t>
            </w:r>
          </w:p>
        </w:tc>
      </w:tr>
    </w:tbl>
    <w:p w:rsidR="00000000" w:rsidRPr="00ED71BE" w:rsidP="00ED71BE">
      <w:pPr>
        <w:pStyle w:val="NoPaddingFontSize1"/>
      </w:pPr>
    </w:p>
    <w:p w:rsidR="00000000" w:rsidRPr="00ED71BE" w:rsidP="00ED71BE">
      <w:pPr>
        <w:pStyle w:val="AllowPageBreak"/>
      </w:pPr>
    </w:p>
    <w:p w:rsidR="00000000" w:rsidRPr="00ED71BE" w:rsidP="00ED71BE">
      <w:pPr>
        <w:pStyle w:val="Heading1"/>
      </w:pPr>
      <w:bookmarkStart w:id="10" w:name="O_958283"/>
      <w:bookmarkEnd w:id="10"/>
      <w:r w:rsidRPr="00ED71BE">
        <w:t>Links</w:t>
      </w:r>
    </w:p>
    <w:p w:rsidR="00000000" w:rsidRPr="00ED71BE" w:rsidP="004B3486">
      <w:pPr>
        <w:pStyle w:val="BodyText"/>
      </w:pPr>
      <w:r w:rsidRPr="00ED71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2272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D71BE" w:rsidP="00ED71BE"/>
    <w:sectPr w:rsidSect="00ED7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BE" w:rsidRPr="004B3486" w:rsidP="004B3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86" w:rsidP="00ED7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486" w:rsidP="00ED7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B3486" w:rsidP="00ED7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1BE" w:rsidRPr="004B3486" w:rsidP="004B3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86" w:rsidRPr="002D2AF8" w:rsidP="00ED7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DEFMIL148 Assist with the establishment and operation of a field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B3486" w:rsidP="00ED7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1BE"/>
  </w:style>
  <w:style w:type="character" w:customStyle="1" w:styleId="Heading1Char">
    <w:name w:val="Heading 1 Char"/>
    <w:basedOn w:val="DefaultParagraphFont"/>
    <w:link w:val="Heading1"/>
    <w:rsid w:val="00ED7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1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71BE"/>
    <w:rPr>
      <w:b/>
      <w:spacing w:val="0"/>
    </w:rPr>
  </w:style>
  <w:style w:type="paragraph" w:customStyle="1" w:styleId="SuperHeading">
    <w:name w:val="SuperHeading"/>
    <w:basedOn w:val="Normal"/>
    <w:rsid w:val="00ED7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7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71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7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1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1BE"/>
    <w:rPr>
      <w:i/>
    </w:rPr>
  </w:style>
  <w:style w:type="paragraph" w:styleId="Caption">
    <w:name w:val="caption"/>
    <w:basedOn w:val="BodyText"/>
    <w:next w:val="Normal"/>
    <w:qFormat/>
    <w:rsid w:val="00ED7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1BE"/>
  </w:style>
  <w:style w:type="paragraph" w:styleId="TableofFigures">
    <w:name w:val="table of figures"/>
    <w:basedOn w:val="Normal"/>
    <w:next w:val="Normal"/>
    <w:semiHidden/>
    <w:rsid w:val="00ED7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1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71BE"/>
    <w:rPr>
      <w:rFonts w:ascii="Wingdings" w:hAnsi="Wingdings"/>
    </w:rPr>
  </w:style>
  <w:style w:type="paragraph" w:customStyle="1" w:styleId="TableHeading">
    <w:name w:val="Table Heading"/>
    <w:basedOn w:val="HeadingBase"/>
    <w:rsid w:val="00ED7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1BE"/>
    <w:rPr>
      <w:color w:val="0033CC"/>
      <w:u w:val="none"/>
    </w:rPr>
  </w:style>
  <w:style w:type="paragraph" w:customStyle="1" w:styleId="BodyTextRight">
    <w:name w:val="Body Text Right"/>
    <w:basedOn w:val="BodyText"/>
    <w:rsid w:val="00ED7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1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1BE"/>
    <w:rPr>
      <w:sz w:val="32"/>
    </w:rPr>
  </w:style>
  <w:style w:type="paragraph" w:customStyle="1" w:styleId="HeadingProcedure">
    <w:name w:val="Heading Procedure"/>
    <w:basedOn w:val="HeadingBase"/>
    <w:next w:val="Normal"/>
    <w:rsid w:val="00ED7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1BE"/>
    <w:pPr>
      <w:spacing w:before="60" w:after="60"/>
    </w:pPr>
  </w:style>
  <w:style w:type="paragraph" w:styleId="ListContinue">
    <w:name w:val="List Continue"/>
    <w:basedOn w:val="List"/>
    <w:rsid w:val="00ED71BE"/>
    <w:pPr>
      <w:ind w:firstLine="0"/>
    </w:pPr>
  </w:style>
  <w:style w:type="paragraph" w:customStyle="1" w:styleId="ListNote">
    <w:name w:val="List Note"/>
    <w:basedOn w:val="List"/>
    <w:rsid w:val="00ED7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1BE"/>
    <w:rPr>
      <w:rFonts w:ascii="Courier New" w:hAnsi="Courier New"/>
    </w:rPr>
  </w:style>
  <w:style w:type="paragraph" w:customStyle="1" w:styleId="NoteBullet">
    <w:name w:val="Note Bullet"/>
    <w:basedOn w:val="Note"/>
    <w:rsid w:val="00ED7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1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7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1BE"/>
    <w:rPr>
      <w:b/>
      <w:smallCaps/>
    </w:rPr>
  </w:style>
  <w:style w:type="paragraph" w:customStyle="1" w:styleId="TableListNumber">
    <w:name w:val="Table List Number"/>
    <w:basedOn w:val="ListNumber"/>
    <w:rsid w:val="00ED7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1BE"/>
    <w:pPr>
      <w:numPr>
        <w:numId w:val="7"/>
      </w:numPr>
    </w:pPr>
  </w:style>
  <w:style w:type="paragraph" w:customStyle="1" w:styleId="ListAlpha2">
    <w:name w:val="List Alpha 2"/>
    <w:basedOn w:val="List2"/>
    <w:rsid w:val="00ED71BE"/>
    <w:pPr>
      <w:numPr>
        <w:numId w:val="6"/>
      </w:numPr>
    </w:pPr>
  </w:style>
  <w:style w:type="paragraph" w:styleId="List2">
    <w:name w:val="List 2"/>
    <w:basedOn w:val="BodyText"/>
    <w:rsid w:val="00ED7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1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1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71BE"/>
    <w:pPr>
      <w:numPr>
        <w:numId w:val="2"/>
      </w:numPr>
    </w:pPr>
  </w:style>
  <w:style w:type="paragraph" w:styleId="ListContinue2">
    <w:name w:val="List Continue 2"/>
    <w:basedOn w:val="List2"/>
    <w:rsid w:val="00ED71BE"/>
    <w:pPr>
      <w:ind w:firstLine="0"/>
    </w:pPr>
  </w:style>
  <w:style w:type="paragraph" w:styleId="ListContinue3">
    <w:name w:val="List Continue 3"/>
    <w:basedOn w:val="List3"/>
    <w:rsid w:val="00ED71BE"/>
    <w:pPr>
      <w:ind w:left="1021" w:firstLine="0"/>
    </w:pPr>
  </w:style>
  <w:style w:type="paragraph" w:styleId="ListContinue4">
    <w:name w:val="List Continue 4"/>
    <w:basedOn w:val="List4"/>
    <w:rsid w:val="00ED71BE"/>
    <w:pPr>
      <w:ind w:firstLine="0"/>
    </w:pPr>
  </w:style>
  <w:style w:type="paragraph" w:styleId="ListContinue5">
    <w:name w:val="List Continue 5"/>
    <w:basedOn w:val="List5"/>
    <w:rsid w:val="00ED71BE"/>
    <w:pPr>
      <w:ind w:firstLine="0"/>
    </w:pPr>
  </w:style>
  <w:style w:type="paragraph" w:styleId="ListNumber3">
    <w:name w:val="List Number 3"/>
    <w:basedOn w:val="List3"/>
    <w:rsid w:val="00ED71BE"/>
    <w:pPr>
      <w:numPr>
        <w:numId w:val="3"/>
      </w:numPr>
    </w:pPr>
  </w:style>
  <w:style w:type="paragraph" w:styleId="ListNumber4">
    <w:name w:val="List Number 4"/>
    <w:basedOn w:val="List4"/>
    <w:rsid w:val="00ED71BE"/>
    <w:pPr>
      <w:numPr>
        <w:numId w:val="4"/>
      </w:numPr>
    </w:pPr>
  </w:style>
  <w:style w:type="paragraph" w:styleId="ListNumber5">
    <w:name w:val="List Number 5"/>
    <w:basedOn w:val="List5"/>
    <w:rsid w:val="00ED71BE"/>
    <w:pPr>
      <w:numPr>
        <w:numId w:val="5"/>
      </w:numPr>
    </w:pPr>
  </w:style>
  <w:style w:type="paragraph" w:styleId="BlockText">
    <w:name w:val="Block Text"/>
    <w:basedOn w:val="Normal"/>
    <w:rsid w:val="00ED7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1BE"/>
    <w:rPr>
      <w:sz w:val="16"/>
      <w:vertAlign w:val="superscript"/>
    </w:rPr>
  </w:style>
  <w:style w:type="character" w:customStyle="1" w:styleId="Symbols">
    <w:name w:val="Symbols"/>
    <w:basedOn w:val="DefaultParagraphFont"/>
    <w:rsid w:val="00ED71BE"/>
    <w:rPr>
      <w:rFonts w:ascii="Symbol" w:hAnsi="Symbol"/>
    </w:rPr>
  </w:style>
  <w:style w:type="character" w:customStyle="1" w:styleId="MenuOptions">
    <w:name w:val="Menu Options"/>
    <w:basedOn w:val="DefaultParagraphFont"/>
    <w:rsid w:val="00ED7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1BE"/>
    <w:rPr>
      <w:b/>
    </w:rPr>
  </w:style>
  <w:style w:type="character" w:customStyle="1" w:styleId="Underlined">
    <w:name w:val="Underlined"/>
    <w:basedOn w:val="DefaultParagraphFont"/>
    <w:rsid w:val="00ED71BE"/>
    <w:rPr>
      <w:u w:val="single"/>
    </w:rPr>
  </w:style>
  <w:style w:type="paragraph" w:customStyle="1" w:styleId="TableBodyTextRight">
    <w:name w:val="Table Body Text Right"/>
    <w:basedOn w:val="TableBodyText"/>
    <w:rsid w:val="00ED7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1BE"/>
    <w:rPr>
      <w:sz w:val="18"/>
    </w:rPr>
  </w:style>
  <w:style w:type="paragraph" w:customStyle="1" w:styleId="BodySmallRight">
    <w:name w:val="Body Small Right"/>
    <w:basedOn w:val="BodyTextRight"/>
    <w:rsid w:val="00ED71BE"/>
    <w:rPr>
      <w:sz w:val="18"/>
      <w:szCs w:val="18"/>
    </w:rPr>
  </w:style>
  <w:style w:type="paragraph" w:customStyle="1" w:styleId="MarginEdition">
    <w:name w:val="Margin Edition"/>
    <w:basedOn w:val="MarginNote"/>
    <w:rsid w:val="00ED7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1BE"/>
    <w:rPr>
      <w:sz w:val="2"/>
      <w:szCs w:val="2"/>
    </w:rPr>
  </w:style>
  <w:style w:type="character" w:customStyle="1" w:styleId="Small">
    <w:name w:val="Small"/>
    <w:basedOn w:val="DefaultParagraphFont"/>
    <w:rsid w:val="00ED71BE"/>
    <w:rPr>
      <w:sz w:val="16"/>
    </w:rPr>
  </w:style>
  <w:style w:type="paragraph" w:customStyle="1" w:styleId="WideTable">
    <w:name w:val="Wide Table"/>
    <w:basedOn w:val="Normal"/>
    <w:rsid w:val="00ED7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1BE"/>
  </w:style>
  <w:style w:type="paragraph" w:styleId="Quote">
    <w:name w:val="Quote"/>
    <w:basedOn w:val="Heading1"/>
    <w:link w:val="QuoteChar"/>
    <w:qFormat/>
    <w:rsid w:val="00ED7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1BE"/>
    <w:pPr>
      <w:pageBreakBefore/>
    </w:pPr>
  </w:style>
  <w:style w:type="paragraph" w:customStyle="1" w:styleId="Border">
    <w:name w:val="Border"/>
    <w:basedOn w:val="Normal"/>
    <w:qFormat/>
    <w:rsid w:val="00ED7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1BE"/>
    <w:rPr>
      <w:u w:val="single"/>
    </w:rPr>
  </w:style>
  <w:style w:type="character" w:customStyle="1" w:styleId="BoldandItalics">
    <w:name w:val="Bold and Italics"/>
    <w:qFormat/>
    <w:rsid w:val="00ED71BE"/>
    <w:rPr>
      <w:b/>
      <w:i/>
      <w:u w:val="none"/>
    </w:rPr>
  </w:style>
  <w:style w:type="paragraph" w:styleId="BalloonText">
    <w:name w:val="Balloon Text"/>
    <w:basedOn w:val="Normal"/>
    <w:link w:val="BalloonTextChar"/>
    <w:rsid w:val="00ED7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1BE"/>
    <w:pPr>
      <w:spacing w:before="0" w:after="0"/>
    </w:pPr>
  </w:style>
  <w:style w:type="paragraph" w:customStyle="1" w:styleId="BodyTextBold">
    <w:name w:val="Body Text Bold"/>
    <w:basedOn w:val="BodyText"/>
    <w:qFormat/>
    <w:rsid w:val="00ED71BE"/>
    <w:rPr>
      <w:b/>
    </w:rPr>
  </w:style>
  <w:style w:type="character" w:styleId="Hyperlink">
    <w:name w:val="Hyperlink"/>
    <w:basedOn w:val="DefaultParagraphFont"/>
    <w:uiPriority w:val="99"/>
    <w:unhideWhenUsed/>
    <w:rsid w:val="004B3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3808</Characters>
  <Application>Microsoft Office Word</Application>
  <DocSecurity>0</DocSecurity>
  <Lines>200</Lines>
  <Paragraphs>105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DEFMIL148 Assist with the establishment and operation of a field kitchen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