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92E" w:rsidP="00163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DEFMIL066 Observe targets and direct multi asset firepower on multiple targets</w:t>
      </w:r>
      <w:r>
        <w:fldChar w:fldCharType="end"/>
      </w:r>
    </w:p>
    <w:p w:rsidR="0016392E" w:rsidP="0016392E">
      <w:pPr>
        <w:pStyle w:val="Version"/>
        <w:sectPr w:rsidSect="00CD1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5B0" w:rsidP="00CD15B0">
      <w:pPr>
        <w:pStyle w:val="SuperHeading"/>
      </w:pPr>
      <w:r w:rsidRPr="00CD15B0">
        <w:t>DEFMIL066 Observe targets and direct multi asset firepower on multiple targets</w:t>
      </w:r>
    </w:p>
    <w:p w:rsidR="00000000" w:rsidRPr="00CD15B0" w:rsidP="00CD15B0">
      <w:pPr>
        <w:pStyle w:val="Heading1"/>
      </w:pPr>
      <w:bookmarkStart w:id="1" w:name="O_732195"/>
      <w:bookmarkEnd w:id="1"/>
      <w:r w:rsidRPr="00CD15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63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TableHeading"/>
              <w:rPr>
                <w:lang w:val="en-NZ"/>
              </w:rPr>
            </w:pPr>
            <w:r w:rsidRPr="00CD15B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TableHeading"/>
              <w:rPr>
                <w:lang w:val="en-NZ"/>
              </w:rPr>
            </w:pPr>
            <w:r w:rsidRPr="00CD15B0">
              <w:t>Comments</w:t>
            </w:r>
          </w:p>
        </w:tc>
      </w:tr>
      <w:tr w:rsidTr="00163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BodyText"/>
              <w:rPr>
                <w:lang w:val="en-NZ"/>
              </w:rPr>
            </w:pPr>
            <w:r w:rsidRPr="00CD15B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B0" w:rsidP="00CD15B0">
            <w:pPr>
              <w:pStyle w:val="BodyText"/>
            </w:pPr>
            <w:r w:rsidRPr="00CD15B0">
              <w:t xml:space="preserve">This unit was released in DEF Defence Training Package release 1.0 and meets the Standards for Training Packages. </w:t>
            </w:r>
          </w:p>
          <w:p w:rsidR="00000000" w:rsidRPr="00CD15B0" w:rsidP="00CD15B0">
            <w:pPr>
              <w:pStyle w:val="BodyText"/>
            </w:pPr>
          </w:p>
          <w:p w:rsidR="00000000" w:rsidRPr="00CD15B0" w:rsidP="00CD15B0">
            <w:pPr>
              <w:pStyle w:val="BodyText"/>
            </w:pPr>
            <w:r w:rsidRPr="00CD15B0">
              <w:t>This unit supersedes and is equivalent to DEFCA206B Observe targets and direct multi asset firepower on multiple targets.</w:t>
            </w:r>
          </w:p>
          <w:p w:rsidR="00000000" w:rsidRPr="00CD15B0" w:rsidP="00CD15B0">
            <w:pPr>
              <w:pStyle w:val="BodyText"/>
            </w:pPr>
          </w:p>
          <w:p w:rsidR="00000000" w:rsidRPr="00CD15B0" w:rsidP="00CD15B0">
            <w:pPr>
              <w:pStyle w:val="ListBullet"/>
            </w:pPr>
            <w:r w:rsidRPr="00CD15B0">
              <w:t>Unit code updated</w:t>
            </w:r>
          </w:p>
          <w:p w:rsidR="00000000" w:rsidRPr="00CD15B0" w:rsidP="00CD15B0">
            <w:pPr>
              <w:pStyle w:val="ListBullet"/>
            </w:pPr>
            <w:r w:rsidRPr="00CD15B0">
              <w:t>Content and formatting updated to comply with the new standards</w:t>
            </w:r>
          </w:p>
          <w:p w:rsidR="00000000" w:rsidRPr="00CD15B0" w:rsidP="00CD15B0">
            <w:pPr>
              <w:pStyle w:val="ListBullet"/>
            </w:pPr>
            <w:r w:rsidRPr="00CD15B0">
              <w:t>All PC transitioned from passive to active voice</w:t>
            </w:r>
          </w:p>
          <w:p w:rsidR="00000000" w:rsidRPr="00CD15B0" w:rsidP="00CD15B0">
            <w:pPr>
              <w:pStyle w:val="ListBullet"/>
            </w:pPr>
            <w:r w:rsidRPr="00CD15B0">
              <w:t>P</w:t>
            </w:r>
            <w:r w:rsidRPr="00CD15B0">
              <w:t>C 3.2 removed</w:t>
            </w:r>
          </w:p>
        </w:tc>
      </w:tr>
    </w:tbl>
    <w:p w:rsidR="00000000" w:rsidRPr="00CD15B0" w:rsidP="00CD15B0">
      <w:pPr>
        <w:pStyle w:val="BodyText"/>
      </w:pPr>
    </w:p>
    <w:p w:rsidR="00000000" w:rsidRPr="00CD15B0" w:rsidP="00CD15B0">
      <w:pPr>
        <w:pStyle w:val="AllowPageBreak"/>
      </w:pPr>
    </w:p>
    <w:p w:rsidR="00000000" w:rsidRPr="00CD15B0" w:rsidP="00CD15B0">
      <w:pPr>
        <w:pStyle w:val="Heading1"/>
      </w:pPr>
      <w:bookmarkStart w:id="2" w:name="O_732196"/>
      <w:bookmarkEnd w:id="2"/>
      <w:r w:rsidRPr="00CD15B0">
        <w:t>Application</w:t>
      </w:r>
    </w:p>
    <w:p w:rsidR="00000000" w:rsidRPr="00CD15B0" w:rsidP="0016392E">
      <w:pPr>
        <w:pStyle w:val="BodyText"/>
      </w:pPr>
      <w:r w:rsidRPr="00CD15B0">
        <w:t xml:space="preserve">This unit describes the skills required to observe targets remotely from the firepower locations and to provide advice so that firepower can be employed </w:t>
      </w:r>
      <w:r w:rsidRPr="00CD15B0">
        <w:t>to engage targets. Firepower will normally be limited to the following assets:</w:t>
      </w:r>
    </w:p>
    <w:p w:rsidR="00000000" w:rsidRPr="00CD15B0" w:rsidP="00CD15B0">
      <w:pPr>
        <w:pStyle w:val="ListBullet"/>
      </w:pPr>
      <w:r w:rsidRPr="00CD15B0">
        <w:t>small arms</w:t>
      </w:r>
    </w:p>
    <w:p w:rsidR="00000000" w:rsidRPr="00CD15B0" w:rsidP="00CD15B0">
      <w:pPr>
        <w:pStyle w:val="ListBullet"/>
      </w:pPr>
      <w:r w:rsidRPr="00CD15B0">
        <w:t>indirect weapons</w:t>
      </w:r>
    </w:p>
    <w:p w:rsidR="00000000" w:rsidRPr="00CD15B0" w:rsidP="00CD15B0">
      <w:pPr>
        <w:pStyle w:val="BodyText"/>
      </w:pPr>
    </w:p>
    <w:p w:rsidR="00000000" w:rsidRPr="00CD15B0" w:rsidP="0016392E">
      <w:pPr>
        <w:pStyle w:val="BodyText"/>
      </w:pPr>
      <w:r w:rsidRPr="00CD15B0">
        <w:t>Th</w:t>
      </w:r>
      <w:r w:rsidRPr="00CD15B0">
        <w:t>is unit applies to those working as combat arms personnel required to observe targets and to direct multi-asset firepower to destroy/neutralise multiple targets in a deployed operational environment.</w:t>
      </w:r>
    </w:p>
    <w:p w:rsidR="00000000" w:rsidRPr="00CD15B0" w:rsidP="0016392E">
      <w:pPr>
        <w:pStyle w:val="BodyText"/>
      </w:pPr>
      <w:r w:rsidRPr="00CD15B0">
        <w:t>The skills and knowledge described in this unit must be</w:t>
      </w:r>
      <w:r w:rsidRPr="00CD15B0">
        <w:t xml:space="preserve"> applied within the legislative, regulatory and policy environment in which they are carried out. Organisational policies and procedures must be consulted and adhered to. </w:t>
      </w:r>
    </w:p>
    <w:p w:rsidR="00000000" w:rsidRPr="00CD15B0" w:rsidP="0016392E">
      <w:pPr>
        <w:pStyle w:val="BodyText"/>
      </w:pPr>
      <w:r w:rsidRPr="00CD15B0">
        <w:t>Those undertaking this unit would work as part of a team under direct and/or indire</w:t>
      </w:r>
      <w:r w:rsidRPr="00CD15B0">
        <w:t>ct supervision. While this work will be undertaken as part of a team and under the commander’s direction, the individual must also have the authority to act independently.  They would use discretion and judgement, and take responsibility for the quality of</w:t>
      </w:r>
      <w:r w:rsidRPr="00CD15B0">
        <w:t xml:space="preserve"> their outputs while performing specific tasks in a broad range of unpredictable contexts. </w:t>
      </w:r>
    </w:p>
    <w:p w:rsidR="00000000" w:rsidRPr="00CD15B0" w:rsidP="0016392E">
      <w:pPr>
        <w:pStyle w:val="BodyText"/>
      </w:pPr>
      <w:r w:rsidRPr="00CD15B0">
        <w:t>No licensing, legislative, regulatory or certification requirements apply to this unit at the time of publication.</w:t>
      </w:r>
    </w:p>
    <w:p w:rsidR="00000000" w:rsidRPr="00CD15B0" w:rsidP="00CD15B0">
      <w:pPr>
        <w:pStyle w:val="Heading1"/>
      </w:pPr>
      <w:bookmarkStart w:id="3" w:name="O_732198"/>
      <w:bookmarkEnd w:id="3"/>
      <w:r w:rsidRPr="00CD15B0">
        <w:t>Competency Field</w:t>
      </w:r>
    </w:p>
    <w:p w:rsidR="00000000" w:rsidRPr="00CD15B0" w:rsidP="0016392E">
      <w:pPr>
        <w:pStyle w:val="BodyText"/>
      </w:pPr>
      <w:r w:rsidRPr="00CD15B0">
        <w:t>Military Skill</w:t>
      </w:r>
      <w:r w:rsidRPr="00CD15B0">
        <w:t>s</w:t>
      </w:r>
    </w:p>
    <w:p w:rsidR="00000000" w:rsidRPr="00CD15B0" w:rsidP="00CD15B0">
      <w:pPr>
        <w:pStyle w:val="Heading1"/>
      </w:pPr>
      <w:bookmarkStart w:id="4" w:name="O_732200"/>
      <w:bookmarkEnd w:id="4"/>
      <w:r w:rsidRPr="00CD15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D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TableHeading"/>
              <w:rPr>
                <w:lang w:val="en-NZ"/>
              </w:rPr>
            </w:pPr>
            <w:r w:rsidRPr="00CD15B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TableHeading"/>
              <w:rPr>
                <w:lang w:val="en-NZ"/>
              </w:rPr>
            </w:pPr>
            <w:r w:rsidRPr="00CD15B0">
              <w:t>PERFORMANCE CRITERIA</w:t>
            </w:r>
          </w:p>
        </w:tc>
      </w:tr>
      <w:tr w:rsidTr="00CD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BodyText"/>
              <w:rPr>
                <w:lang w:val="en-NZ"/>
              </w:rPr>
            </w:pPr>
            <w:r w:rsidRPr="00CD15B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BodyText"/>
              <w:rPr>
                <w:lang w:val="en-NZ"/>
              </w:rPr>
            </w:pPr>
            <w:r w:rsidRPr="00CD15B0">
              <w:t>Performance criteria describe the performance needed to demonstrate achievement of the element. Where bold italicised text is used,</w:t>
            </w:r>
            <w:r w:rsidRPr="00CD15B0">
              <w:t xml:space="preserve"> further information is detailed in the range of conditions section.</w:t>
            </w:r>
          </w:p>
        </w:tc>
      </w:tr>
      <w:tr w:rsidTr="00CD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List"/>
              <w:rPr>
                <w:lang w:val="en-NZ"/>
              </w:rPr>
            </w:pPr>
            <w:r w:rsidRPr="00CD15B0">
              <w:rPr>
                <w:rStyle w:val="SpecialBold"/>
              </w:rPr>
              <w:t>1.</w:t>
            </w:r>
            <w:r w:rsidRPr="00CD15B0">
              <w:rPr>
                <w:rStyle w:val="SpecialBold"/>
              </w:rPr>
              <w:tab/>
              <w:t>Occupy and prepare a location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B0" w:rsidP="00CD15B0">
            <w:pPr>
              <w:pStyle w:val="List"/>
            </w:pPr>
            <w:r w:rsidRPr="00CD15B0">
              <w:t>1.1</w:t>
            </w:r>
            <w:r w:rsidRPr="00CD15B0">
              <w:tab/>
              <w:t>Occupy an appropriate vantage point and maintain concealment throughout the operation.</w:t>
            </w:r>
          </w:p>
          <w:p w:rsidR="00000000" w:rsidRPr="00CD15B0" w:rsidP="00CD15B0">
            <w:pPr>
              <w:pStyle w:val="List"/>
            </w:pPr>
            <w:r w:rsidRPr="00CD15B0">
              <w:t>1.2</w:t>
            </w:r>
            <w:r w:rsidRPr="00CD15B0">
              <w:tab/>
              <w:t>Establish occupied position.</w:t>
            </w:r>
          </w:p>
          <w:p w:rsidR="00000000" w:rsidRPr="00CD15B0" w:rsidP="00CD15B0">
            <w:pPr>
              <w:pStyle w:val="List"/>
            </w:pPr>
            <w:r w:rsidRPr="00CD15B0">
              <w:t>1.3</w:t>
            </w:r>
            <w:r w:rsidRPr="00CD15B0">
              <w:tab/>
            </w:r>
            <w:r w:rsidRPr="00CD15B0">
              <w:t>Establish reference points and document information.</w:t>
            </w:r>
          </w:p>
          <w:p w:rsidR="00000000" w:rsidP="00CD15B0">
            <w:pPr>
              <w:pStyle w:val="List"/>
              <w:rPr>
                <w:lang w:val="en-NZ"/>
              </w:rPr>
            </w:pPr>
            <w:r w:rsidRPr="00CD15B0">
              <w:t>1.4</w:t>
            </w:r>
            <w:r w:rsidRPr="00CD15B0">
              <w:tab/>
              <w:t>Observe and monitor possible threats so that an appropriate plan of action can be prepared by relevant authority.</w:t>
            </w:r>
          </w:p>
        </w:tc>
      </w:tr>
      <w:tr w:rsidTr="00CD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List"/>
              <w:rPr>
                <w:lang w:val="en-NZ"/>
              </w:rPr>
            </w:pPr>
            <w:r w:rsidRPr="00CD15B0">
              <w:rPr>
                <w:rStyle w:val="SpecialBold"/>
              </w:rPr>
              <w:t>2.</w:t>
            </w:r>
            <w:r w:rsidRPr="00CD15B0">
              <w:rPr>
                <w:rStyle w:val="SpecialBold"/>
              </w:rPr>
              <w:tab/>
              <w:t>Plan the engagement of firepower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B0" w:rsidP="00CD15B0">
            <w:pPr>
              <w:pStyle w:val="List"/>
            </w:pPr>
            <w:r w:rsidRPr="00CD15B0">
              <w:t>2.1</w:t>
            </w:r>
            <w:r w:rsidRPr="00CD15B0">
              <w:tab/>
              <w:t>Interpret received advice on overall operati</w:t>
            </w:r>
            <w:r w:rsidRPr="00CD15B0">
              <w:t>onal plan that will inform the planning process.</w:t>
            </w:r>
          </w:p>
          <w:p w:rsidR="00000000" w:rsidRPr="00CD15B0" w:rsidP="00CD15B0">
            <w:pPr>
              <w:pStyle w:val="List"/>
            </w:pPr>
            <w:r w:rsidRPr="00CD15B0">
              <w:t>2.2</w:t>
            </w:r>
            <w:r w:rsidRPr="00CD15B0">
              <w:tab/>
              <w:t>Transmit warning order for intent of operations to the command post.</w:t>
            </w:r>
          </w:p>
          <w:p w:rsidR="00000000" w:rsidRPr="00CD15B0" w:rsidP="00CD15B0">
            <w:pPr>
              <w:pStyle w:val="List"/>
            </w:pPr>
            <w:r w:rsidRPr="00CD15B0">
              <w:t>2.3</w:t>
            </w:r>
            <w:r w:rsidRPr="00CD15B0">
              <w:tab/>
              <w:t>Send request to the command post for resources outside own organisation when required.</w:t>
            </w:r>
          </w:p>
          <w:p w:rsidR="00000000" w:rsidRPr="00CD15B0" w:rsidP="00CD15B0">
            <w:pPr>
              <w:pStyle w:val="List"/>
            </w:pPr>
            <w:r w:rsidRPr="00CD15B0">
              <w:t>2.4</w:t>
            </w:r>
            <w:r w:rsidRPr="00CD15B0">
              <w:tab/>
              <w:t>Establish and record target data.</w:t>
            </w:r>
          </w:p>
          <w:p w:rsidR="00000000" w:rsidRPr="00CD15B0" w:rsidP="00CD15B0">
            <w:pPr>
              <w:pStyle w:val="List"/>
            </w:pPr>
            <w:r w:rsidRPr="00CD15B0">
              <w:t>2.5</w:t>
            </w:r>
            <w:r w:rsidRPr="00CD15B0">
              <w:tab/>
              <w:t>C</w:t>
            </w:r>
            <w:r w:rsidRPr="00CD15B0">
              <w:t>alculate rate of movement of own personnel from available data.</w:t>
            </w:r>
          </w:p>
          <w:p w:rsidR="00000000" w:rsidRPr="00CD15B0" w:rsidP="00CD15B0">
            <w:pPr>
              <w:pStyle w:val="List"/>
            </w:pPr>
            <w:r w:rsidRPr="00CD15B0">
              <w:t>2.6</w:t>
            </w:r>
            <w:r w:rsidRPr="00CD15B0">
              <w:tab/>
              <w:t xml:space="preserve">Calculate resources for effective fire on targets and rates of fire. </w:t>
            </w:r>
          </w:p>
          <w:p w:rsidR="00000000" w:rsidRPr="00CD15B0" w:rsidP="00CD15B0">
            <w:pPr>
              <w:pStyle w:val="List"/>
            </w:pPr>
            <w:r w:rsidRPr="00CD15B0">
              <w:t>2.7</w:t>
            </w:r>
            <w:r w:rsidRPr="00CD15B0">
              <w:tab/>
              <w:t xml:space="preserve">Prioritise targets. </w:t>
            </w:r>
          </w:p>
          <w:p w:rsidR="00000000" w:rsidP="00CD15B0">
            <w:pPr>
              <w:pStyle w:val="List"/>
              <w:rPr>
                <w:lang w:val="en-NZ"/>
              </w:rPr>
            </w:pPr>
            <w:r w:rsidRPr="00CD15B0">
              <w:t>2.8</w:t>
            </w:r>
            <w:r w:rsidRPr="00CD15B0">
              <w:tab/>
              <w:t>Develop and transmit schedule to the command post or liaise directly with other agency to</w:t>
            </w:r>
            <w:r w:rsidRPr="00CD15B0">
              <w:t xml:space="preserve"> organise engagement schedule.</w:t>
            </w:r>
          </w:p>
        </w:tc>
      </w:tr>
      <w:tr w:rsidTr="00CD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List"/>
              <w:rPr>
                <w:lang w:val="en-NZ"/>
              </w:rPr>
            </w:pPr>
            <w:r w:rsidRPr="00CD15B0">
              <w:rPr>
                <w:rStyle w:val="SpecialBold"/>
              </w:rPr>
              <w:t>3.</w:t>
            </w:r>
            <w:r w:rsidRPr="00CD15B0">
              <w:rPr>
                <w:rStyle w:val="SpecialBold"/>
              </w:rPr>
              <w:tab/>
              <w:t>Monitor fire on target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B0" w:rsidP="00CD15B0">
            <w:pPr>
              <w:pStyle w:val="List"/>
            </w:pPr>
            <w:r w:rsidRPr="00CD15B0">
              <w:t>3.1</w:t>
            </w:r>
            <w:r w:rsidRPr="00CD15B0">
              <w:tab/>
              <w:t>Maintain communications with stakeholders throughout the operation.</w:t>
            </w:r>
          </w:p>
          <w:p w:rsidR="00000000" w:rsidRPr="00CD15B0" w:rsidP="00CD15B0">
            <w:pPr>
              <w:pStyle w:val="List"/>
            </w:pPr>
            <w:r w:rsidRPr="00CD15B0">
              <w:t>3.2</w:t>
            </w:r>
            <w:r w:rsidRPr="00CD15B0">
              <w:tab/>
              <w:t>Complete target analysis after impact and if required refer to agency command centre.</w:t>
            </w:r>
          </w:p>
          <w:p w:rsidR="00000000" w:rsidRPr="00CD15B0" w:rsidP="00CD15B0">
            <w:pPr>
              <w:pStyle w:val="List"/>
            </w:pPr>
            <w:r w:rsidRPr="00CD15B0">
              <w:t>3.3</w:t>
            </w:r>
            <w:r w:rsidRPr="00CD15B0">
              <w:tab/>
              <w:t>Amend schedule after analysis as</w:t>
            </w:r>
            <w:r w:rsidRPr="00CD15B0">
              <w:t xml:space="preserve"> required, and transmit to the command post.</w:t>
            </w:r>
          </w:p>
          <w:p w:rsidR="00000000" w:rsidRPr="00CD15B0" w:rsidP="00CD15B0">
            <w:pPr>
              <w:pStyle w:val="List"/>
            </w:pPr>
            <w:r w:rsidRPr="00CD15B0">
              <w:t>3.4</w:t>
            </w:r>
            <w:r w:rsidRPr="00CD15B0">
              <w:tab/>
              <w:t>Provide advice to terminate as required.</w:t>
            </w:r>
          </w:p>
          <w:p w:rsidR="00000000" w:rsidP="00CD15B0">
            <w:pPr>
              <w:pStyle w:val="List"/>
              <w:rPr>
                <w:lang w:val="en-NZ"/>
              </w:rPr>
            </w:pPr>
            <w:r w:rsidRPr="00CD15B0">
              <w:t>3.5</w:t>
            </w:r>
            <w:r w:rsidRPr="00CD15B0">
              <w:tab/>
              <w:t>Maintain records.</w:t>
            </w:r>
          </w:p>
        </w:tc>
      </w:tr>
      <w:tr w:rsidTr="00CD1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B0">
            <w:pPr>
              <w:pStyle w:val="List"/>
              <w:rPr>
                <w:lang w:val="en-NZ"/>
              </w:rPr>
            </w:pPr>
            <w:r w:rsidRPr="00CD15B0">
              <w:rPr>
                <w:rStyle w:val="SpecialBold"/>
              </w:rPr>
              <w:t>4.</w:t>
            </w:r>
            <w:r w:rsidRPr="00CD15B0">
              <w:rPr>
                <w:rStyle w:val="SpecialBold"/>
              </w:rPr>
              <w:tab/>
              <w:t>Withdraw from an occupied location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B0" w:rsidP="00CD15B0">
            <w:pPr>
              <w:pStyle w:val="List"/>
            </w:pPr>
            <w:r w:rsidRPr="00CD15B0">
              <w:t>4.1</w:t>
            </w:r>
            <w:r w:rsidRPr="00CD15B0">
              <w:tab/>
              <w:t>Recondition occupied position and remove all evidence of occupation.</w:t>
            </w:r>
          </w:p>
          <w:p w:rsidR="00000000" w:rsidRPr="00CD15B0" w:rsidP="00CD15B0">
            <w:pPr>
              <w:pStyle w:val="List"/>
            </w:pPr>
            <w:r w:rsidRPr="00CD15B0">
              <w:t>4.2</w:t>
            </w:r>
            <w:r w:rsidRPr="00CD15B0">
              <w:tab/>
              <w:t>Withdraw</w:t>
            </w:r>
            <w:r w:rsidRPr="00CD15B0">
              <w:t xml:space="preserve"> from the occupied position. </w:t>
            </w:r>
          </w:p>
        </w:tc>
      </w:tr>
    </w:tbl>
    <w:p w:rsidR="00000000" w:rsidRPr="00CD15B0" w:rsidP="00CD15B0">
      <w:pPr>
        <w:pStyle w:val="BodyText"/>
      </w:pPr>
    </w:p>
    <w:p w:rsidR="00000000" w:rsidRPr="00CD15B0" w:rsidP="00CD15B0">
      <w:pPr>
        <w:pStyle w:val="AllowPageBreak"/>
      </w:pPr>
    </w:p>
    <w:p w:rsidR="00000000" w:rsidRPr="00CD15B0" w:rsidP="00CD15B0">
      <w:pPr>
        <w:pStyle w:val="Heading1"/>
      </w:pPr>
      <w:bookmarkStart w:id="5" w:name="O_732201"/>
      <w:bookmarkEnd w:id="5"/>
      <w:r w:rsidRPr="00CD15B0">
        <w:t>Foundation Skills</w:t>
      </w:r>
    </w:p>
    <w:p w:rsidR="0016392E" w:rsidP="0016392E">
      <w:pPr>
        <w:pStyle w:val="BodyText"/>
      </w:pPr>
      <w:r w:rsidRPr="00CD15B0">
        <w:t>The foundation skills demands of this unit have been mapped for alignment with the Australian Core Skills Framework (ACSF). The following tables outline the performance levels indicated for</w:t>
      </w:r>
      <w:r w:rsidRPr="00CD15B0">
        <w:t xml:space="preserve"> successful attainment of the unit.</w:t>
      </w:r>
    </w:p>
    <w:p w:rsidR="0016392E" w:rsidP="00CD15B0">
      <w:pPr>
        <w:pStyle w:val="BodyText"/>
      </w:pPr>
    </w:p>
    <w:p w:rsidR="0016392E" w:rsidP="00CD15B0">
      <w:pPr>
        <w:pStyle w:val="BodyText"/>
      </w:pPr>
      <w:bookmarkStart w:id="6" w:name="O_74324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pt;width:471pt">
            <v:imagedata r:id="rId10" o:title=""/>
          </v:shape>
        </w:pict>
      </w:r>
      <w:bookmarkEnd w:id="6"/>
    </w:p>
    <w:p w:rsidR="0016392E" w:rsidP="00CD15B0">
      <w:pPr>
        <w:pStyle w:val="BodyText"/>
      </w:pPr>
    </w:p>
    <w:p w:rsidR="00000000" w:rsidRPr="00CD15B0" w:rsidP="0016392E">
      <w:pPr>
        <w:pStyle w:val="BodyText"/>
      </w:pPr>
      <w:r w:rsidRPr="00CD15B0">
        <w:t>Further information on ACSF and the foundation skills under</w:t>
      </w:r>
      <w:r w:rsidRPr="00CD15B0">
        <w:t>pinning this unit can be found in the Foundation Skills Guide on the GSA website.</w:t>
      </w:r>
    </w:p>
    <w:p w:rsidR="00000000" w:rsidRPr="00CD15B0" w:rsidP="00CD15B0">
      <w:pPr>
        <w:pStyle w:val="Heading1"/>
      </w:pPr>
      <w:bookmarkStart w:id="7" w:name="O_732203"/>
      <w:bookmarkEnd w:id="7"/>
      <w:r w:rsidRPr="00CD15B0">
        <w:t>Unit Mapping Information</w:t>
      </w:r>
    </w:p>
    <w:p w:rsidR="00000000" w:rsidRPr="00CD15B0" w:rsidP="0016392E">
      <w:pPr>
        <w:pStyle w:val="BodyText"/>
      </w:pPr>
      <w:r w:rsidRPr="00CD15B0">
        <w:t>This unit supersedes and is equivalent to DEFCA206B Observe targets and direct multi asset firepower on multiple targets.</w:t>
      </w:r>
    </w:p>
    <w:p w:rsidR="00000000" w:rsidRPr="00CD15B0" w:rsidP="00CD15B0">
      <w:pPr>
        <w:pStyle w:val="Heading1"/>
      </w:pPr>
      <w:bookmarkStart w:id="8" w:name="O_732210"/>
      <w:bookmarkEnd w:id="8"/>
      <w:r w:rsidRPr="00CD15B0">
        <w:t>Links</w:t>
      </w:r>
    </w:p>
    <w:p w:rsidR="00000000" w:rsidRPr="00CD15B0" w:rsidP="0016392E">
      <w:pPr>
        <w:pStyle w:val="BodyText"/>
      </w:pPr>
      <w:r w:rsidRPr="00CD1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B51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D15B0" w:rsidP="0016392E">
      <w:pPr>
        <w:pStyle w:val="BodyText"/>
      </w:pPr>
      <w:r w:rsidRPr="00CD1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B51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D15B0" w:rsidP="0016392E">
      <w:pPr>
        <w:pStyle w:val="BodyText"/>
      </w:pPr>
      <w:r w:rsidRPr="00CD1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B51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D15B0" w:rsidP="00CD15B0"/>
    <w:sectPr w:rsidSect="00CD15B0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B0" w:rsidRPr="0016392E" w:rsidP="00163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2E" w:rsidP="00CD1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92E" w:rsidP="00CD1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6392E" w:rsidP="00CD1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5B0" w:rsidRPr="0016392E" w:rsidP="00163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2E" w:rsidRPr="002D2AF8" w:rsidP="00CD1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DEFMIL066 Observe targets and direct multi asset firepower on multiple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6392E" w:rsidP="00CD1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8E8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3C8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5B0"/>
  </w:style>
  <w:style w:type="character" w:customStyle="1" w:styleId="Heading1Char">
    <w:name w:val="Heading 1 Char"/>
    <w:basedOn w:val="DefaultParagraphFont"/>
    <w:link w:val="Heading1"/>
    <w:rsid w:val="00CD1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5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15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5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5B0"/>
    <w:rPr>
      <w:b/>
      <w:spacing w:val="0"/>
    </w:rPr>
  </w:style>
  <w:style w:type="paragraph" w:customStyle="1" w:styleId="SuperHeading">
    <w:name w:val="SuperHeading"/>
    <w:basedOn w:val="Normal"/>
    <w:rsid w:val="00CD1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15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1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5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1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5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5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5B0"/>
    <w:rPr>
      <w:i/>
    </w:rPr>
  </w:style>
  <w:style w:type="paragraph" w:styleId="Caption">
    <w:name w:val="caption"/>
    <w:basedOn w:val="BodyText"/>
    <w:next w:val="Normal"/>
    <w:qFormat/>
    <w:rsid w:val="00CD1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5B0"/>
  </w:style>
  <w:style w:type="paragraph" w:styleId="TableofFigures">
    <w:name w:val="table of figures"/>
    <w:basedOn w:val="Normal"/>
    <w:next w:val="Normal"/>
    <w:semiHidden/>
    <w:rsid w:val="00CD1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5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5B0"/>
    <w:rPr>
      <w:rFonts w:ascii="Wingdings" w:hAnsi="Wingdings"/>
    </w:rPr>
  </w:style>
  <w:style w:type="character" w:customStyle="1" w:styleId="HotSpot">
    <w:name w:val="HotSpot"/>
    <w:rsid w:val="00CD15B0"/>
    <w:rPr>
      <w:color w:val="0033CC"/>
      <w:u w:val="none"/>
    </w:rPr>
  </w:style>
  <w:style w:type="paragraph" w:customStyle="1" w:styleId="BodyTextRight">
    <w:name w:val="Body Text Right"/>
    <w:basedOn w:val="BodyText"/>
    <w:rsid w:val="00CD1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5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5B0"/>
    <w:rPr>
      <w:sz w:val="32"/>
    </w:rPr>
  </w:style>
  <w:style w:type="paragraph" w:customStyle="1" w:styleId="HeadingProcedure">
    <w:name w:val="Heading Procedure"/>
    <w:basedOn w:val="HeadingBase"/>
    <w:next w:val="Normal"/>
    <w:rsid w:val="00CD1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5B0"/>
    <w:pPr>
      <w:spacing w:before="60" w:after="60"/>
    </w:pPr>
  </w:style>
  <w:style w:type="paragraph" w:styleId="ListContinue">
    <w:name w:val="List Continue"/>
    <w:basedOn w:val="List"/>
    <w:rsid w:val="00CD15B0"/>
    <w:pPr>
      <w:ind w:firstLine="0"/>
    </w:pPr>
  </w:style>
  <w:style w:type="paragraph" w:customStyle="1" w:styleId="ListNote">
    <w:name w:val="List Note"/>
    <w:basedOn w:val="List"/>
    <w:rsid w:val="00CD1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5B0"/>
    <w:rPr>
      <w:rFonts w:ascii="Courier New" w:hAnsi="Courier New"/>
    </w:rPr>
  </w:style>
  <w:style w:type="paragraph" w:customStyle="1" w:styleId="NoteBullet">
    <w:name w:val="Note Bullet"/>
    <w:basedOn w:val="Note"/>
    <w:rsid w:val="00CD1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5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5B0"/>
    <w:rPr>
      <w:b/>
      <w:smallCaps/>
    </w:rPr>
  </w:style>
  <w:style w:type="paragraph" w:customStyle="1" w:styleId="TableListNumber">
    <w:name w:val="Table List Number"/>
    <w:basedOn w:val="ListNumber"/>
    <w:rsid w:val="00CD1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5B0"/>
    <w:pPr>
      <w:numPr>
        <w:numId w:val="8"/>
      </w:numPr>
    </w:pPr>
  </w:style>
  <w:style w:type="paragraph" w:customStyle="1" w:styleId="ListAlpha2">
    <w:name w:val="List Alpha 2"/>
    <w:basedOn w:val="List2"/>
    <w:rsid w:val="00CD15B0"/>
    <w:pPr>
      <w:numPr>
        <w:numId w:val="7"/>
      </w:numPr>
    </w:pPr>
  </w:style>
  <w:style w:type="paragraph" w:styleId="List2">
    <w:name w:val="List 2"/>
    <w:basedOn w:val="BodyText"/>
    <w:rsid w:val="00CD1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5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5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5B0"/>
    <w:pPr>
      <w:numPr>
        <w:numId w:val="3"/>
      </w:numPr>
    </w:pPr>
  </w:style>
  <w:style w:type="paragraph" w:styleId="ListContinue2">
    <w:name w:val="List Continue 2"/>
    <w:basedOn w:val="List2"/>
    <w:rsid w:val="00CD15B0"/>
    <w:pPr>
      <w:ind w:firstLine="0"/>
    </w:pPr>
  </w:style>
  <w:style w:type="paragraph" w:styleId="ListContinue3">
    <w:name w:val="List Continue 3"/>
    <w:basedOn w:val="List3"/>
    <w:rsid w:val="00CD15B0"/>
    <w:pPr>
      <w:ind w:left="1021" w:firstLine="0"/>
    </w:pPr>
  </w:style>
  <w:style w:type="paragraph" w:styleId="ListContinue4">
    <w:name w:val="List Continue 4"/>
    <w:basedOn w:val="List4"/>
    <w:rsid w:val="00CD15B0"/>
    <w:pPr>
      <w:ind w:firstLine="0"/>
    </w:pPr>
  </w:style>
  <w:style w:type="paragraph" w:styleId="ListContinue5">
    <w:name w:val="List Continue 5"/>
    <w:basedOn w:val="List5"/>
    <w:rsid w:val="00CD15B0"/>
    <w:pPr>
      <w:ind w:firstLine="0"/>
    </w:pPr>
  </w:style>
  <w:style w:type="paragraph" w:styleId="ListNumber3">
    <w:name w:val="List Number 3"/>
    <w:basedOn w:val="List3"/>
    <w:rsid w:val="00CD15B0"/>
    <w:pPr>
      <w:numPr>
        <w:numId w:val="4"/>
      </w:numPr>
    </w:pPr>
  </w:style>
  <w:style w:type="paragraph" w:styleId="ListNumber4">
    <w:name w:val="List Number 4"/>
    <w:basedOn w:val="List4"/>
    <w:rsid w:val="00CD15B0"/>
    <w:pPr>
      <w:numPr>
        <w:numId w:val="5"/>
      </w:numPr>
    </w:pPr>
  </w:style>
  <w:style w:type="paragraph" w:styleId="ListNumber5">
    <w:name w:val="List Number 5"/>
    <w:basedOn w:val="List5"/>
    <w:rsid w:val="00CD15B0"/>
    <w:pPr>
      <w:numPr>
        <w:numId w:val="6"/>
      </w:numPr>
    </w:pPr>
  </w:style>
  <w:style w:type="paragraph" w:styleId="BlockText">
    <w:name w:val="Block Text"/>
    <w:basedOn w:val="Normal"/>
    <w:rsid w:val="00CD1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5B0"/>
    <w:rPr>
      <w:sz w:val="16"/>
      <w:vertAlign w:val="superscript"/>
    </w:rPr>
  </w:style>
  <w:style w:type="character" w:customStyle="1" w:styleId="Symbols">
    <w:name w:val="Symbols"/>
    <w:basedOn w:val="DefaultParagraphFont"/>
    <w:rsid w:val="00CD15B0"/>
    <w:rPr>
      <w:rFonts w:ascii="Symbol" w:hAnsi="Symbol"/>
    </w:rPr>
  </w:style>
  <w:style w:type="character" w:customStyle="1" w:styleId="MenuOptions">
    <w:name w:val="Menu Options"/>
    <w:basedOn w:val="DefaultParagraphFont"/>
    <w:rsid w:val="00CD1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5B0"/>
    <w:rPr>
      <w:b/>
    </w:rPr>
  </w:style>
  <w:style w:type="character" w:customStyle="1" w:styleId="Underlined">
    <w:name w:val="Underlined"/>
    <w:basedOn w:val="DefaultParagraphFont"/>
    <w:rsid w:val="00CD15B0"/>
    <w:rPr>
      <w:u w:val="single"/>
    </w:rPr>
  </w:style>
  <w:style w:type="paragraph" w:customStyle="1" w:styleId="TableBodyTextRight">
    <w:name w:val="Table Body Text Right"/>
    <w:basedOn w:val="TableBodyText"/>
    <w:rsid w:val="00CD1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5B0"/>
    <w:rPr>
      <w:sz w:val="18"/>
    </w:rPr>
  </w:style>
  <w:style w:type="paragraph" w:customStyle="1" w:styleId="BodySmallRight">
    <w:name w:val="Body Small Right"/>
    <w:basedOn w:val="BodyTextRight"/>
    <w:rsid w:val="00CD15B0"/>
    <w:rPr>
      <w:sz w:val="18"/>
      <w:szCs w:val="18"/>
    </w:rPr>
  </w:style>
  <w:style w:type="paragraph" w:customStyle="1" w:styleId="MarginEdition">
    <w:name w:val="Margin Edition"/>
    <w:basedOn w:val="MarginNote"/>
    <w:rsid w:val="00CD1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5B0"/>
    <w:rPr>
      <w:sz w:val="2"/>
      <w:szCs w:val="2"/>
    </w:rPr>
  </w:style>
  <w:style w:type="character" w:customStyle="1" w:styleId="Small">
    <w:name w:val="Small"/>
    <w:basedOn w:val="DefaultParagraphFont"/>
    <w:rsid w:val="00CD15B0"/>
    <w:rPr>
      <w:sz w:val="16"/>
    </w:rPr>
  </w:style>
  <w:style w:type="paragraph" w:customStyle="1" w:styleId="WideTable">
    <w:name w:val="Wide Table"/>
    <w:basedOn w:val="Normal"/>
    <w:rsid w:val="00CD1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5B0"/>
  </w:style>
  <w:style w:type="paragraph" w:styleId="Quote">
    <w:name w:val="Quote"/>
    <w:basedOn w:val="Heading1"/>
    <w:link w:val="QuoteChar"/>
    <w:qFormat/>
    <w:rsid w:val="00CD1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5B0"/>
    <w:pPr>
      <w:pageBreakBefore/>
    </w:pPr>
  </w:style>
  <w:style w:type="paragraph" w:customStyle="1" w:styleId="Border">
    <w:name w:val="Border"/>
    <w:basedOn w:val="Normal"/>
    <w:qFormat/>
    <w:rsid w:val="00CD1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5B0"/>
    <w:rPr>
      <w:u w:val="single"/>
    </w:rPr>
  </w:style>
  <w:style w:type="character" w:customStyle="1" w:styleId="BoldandItalics">
    <w:name w:val="Bold and Italics"/>
    <w:qFormat/>
    <w:rsid w:val="00CD15B0"/>
    <w:rPr>
      <w:b/>
      <w:i/>
      <w:u w:val="none"/>
    </w:rPr>
  </w:style>
  <w:style w:type="paragraph" w:styleId="BalloonText">
    <w:name w:val="Balloon Text"/>
    <w:basedOn w:val="Normal"/>
    <w:link w:val="BalloonTextChar"/>
    <w:rsid w:val="00CD1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5B0"/>
    <w:pPr>
      <w:spacing w:before="0" w:after="0"/>
    </w:pPr>
  </w:style>
  <w:style w:type="paragraph" w:customStyle="1" w:styleId="BodyTextBold">
    <w:name w:val="Body Text Bold"/>
    <w:basedOn w:val="BodyText"/>
    <w:qFormat/>
    <w:rsid w:val="00CD15B0"/>
    <w:rPr>
      <w:b/>
    </w:rPr>
  </w:style>
  <w:style w:type="character" w:styleId="Hyperlink">
    <w:name w:val="Hyperlink"/>
    <w:basedOn w:val="DefaultParagraphFont"/>
    <w:uiPriority w:val="99"/>
    <w:unhideWhenUsed/>
    <w:rsid w:val="00163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4289</Characters>
  <Application>Microsoft Office Word</Application>
  <DocSecurity>0</DocSecurity>
  <Lines>134</Lines>
  <Paragraphs>75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DEFMIL066 Observe targets and direct multi asset firepower on multiple targets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