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09" w:rsidP="00C55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DEFMIL021 Observe and monitor hostile areas to detect targets</w:t>
      </w:r>
      <w:r>
        <w:fldChar w:fldCharType="end"/>
      </w:r>
    </w:p>
    <w:p w:rsidR="00C55C09" w:rsidP="00C55C09">
      <w:pPr>
        <w:pStyle w:val="Version"/>
        <w:sectPr w:rsidSect="00C05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574" w:rsidP="00C05574">
      <w:pPr>
        <w:pStyle w:val="SuperHeading"/>
      </w:pPr>
      <w:r w:rsidRPr="00C05574">
        <w:t>DEFMIL021 Observe and monitor hostile areas to detect targets</w:t>
      </w:r>
    </w:p>
    <w:p w:rsidR="00000000" w:rsidRPr="00C05574" w:rsidP="00C05574">
      <w:pPr>
        <w:pStyle w:val="Heading1"/>
      </w:pPr>
      <w:bookmarkStart w:id="1" w:name="O_731853"/>
      <w:bookmarkEnd w:id="1"/>
      <w:r w:rsidRPr="00C055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5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Comments</w:t>
            </w:r>
          </w:p>
        </w:tc>
      </w:tr>
      <w:tr w:rsidTr="00C5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BodyText"/>
              <w:rPr>
                <w:lang w:val="en-NZ"/>
              </w:rPr>
            </w:pPr>
            <w:r w:rsidRPr="00C0557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574" w:rsidP="00C05574">
            <w:pPr>
              <w:pStyle w:val="BodyText"/>
            </w:pPr>
            <w:r w:rsidRPr="00C05574">
              <w:t xml:space="preserve">This unit was released in DEF Defence Training Package release 1.0 and meets the Standards for Training Packages. </w:t>
            </w:r>
          </w:p>
          <w:p w:rsidR="00000000" w:rsidRPr="00C05574" w:rsidP="00C05574">
            <w:pPr>
              <w:pStyle w:val="BodyText"/>
            </w:pPr>
          </w:p>
          <w:p w:rsidR="00000000" w:rsidRPr="00C05574" w:rsidP="00C05574">
            <w:pPr>
              <w:pStyle w:val="BodyText"/>
            </w:pPr>
            <w:r w:rsidRPr="00C05574">
              <w:t>This unit supersedes and is equivalent to DEFCA001B Operate remote</w:t>
            </w:r>
            <w:r w:rsidRPr="00C05574">
              <w:t xml:space="preserve"> sensors to detect targets.</w:t>
            </w:r>
          </w:p>
          <w:p w:rsidR="00000000" w:rsidRPr="00C05574" w:rsidP="00C05574">
            <w:pPr>
              <w:pStyle w:val="BodyText"/>
            </w:pPr>
          </w:p>
          <w:p w:rsidR="00000000" w:rsidRPr="00C05574" w:rsidP="00C05574">
            <w:pPr>
              <w:pStyle w:val="ListBullet"/>
            </w:pPr>
            <w:r w:rsidRPr="00C05574">
              <w:t>Unit code updated</w:t>
            </w:r>
          </w:p>
          <w:p w:rsidR="00000000" w:rsidRPr="00C05574" w:rsidP="00C05574">
            <w:pPr>
              <w:pStyle w:val="ListBullet"/>
            </w:pPr>
            <w:r w:rsidRPr="00C05574">
              <w:t>Content and formatting updated to comply with the new standards</w:t>
            </w:r>
          </w:p>
          <w:p w:rsidR="00000000" w:rsidRPr="00C05574" w:rsidP="00C05574">
            <w:pPr>
              <w:pStyle w:val="ListBullet"/>
            </w:pPr>
            <w:r w:rsidRPr="00C05574">
              <w:t>All PC transitioned from passive to active voice</w:t>
            </w:r>
          </w:p>
        </w:tc>
      </w:tr>
    </w:tbl>
    <w:p w:rsidR="00000000" w:rsidRPr="00C05574" w:rsidP="00C05574">
      <w:pPr>
        <w:pStyle w:val="BodyText"/>
      </w:pPr>
    </w:p>
    <w:p w:rsidR="00000000" w:rsidRPr="00C05574" w:rsidP="00C05574">
      <w:pPr>
        <w:pStyle w:val="AllowPageBreak"/>
      </w:pPr>
    </w:p>
    <w:p w:rsidR="00000000" w:rsidRPr="00C05574" w:rsidP="00C05574">
      <w:pPr>
        <w:pStyle w:val="Heading1"/>
      </w:pPr>
      <w:bookmarkStart w:id="2" w:name="O_731854"/>
      <w:bookmarkEnd w:id="2"/>
      <w:r w:rsidRPr="00C05574">
        <w:t>Application</w:t>
      </w:r>
    </w:p>
    <w:p w:rsidR="00000000" w:rsidRPr="00C05574" w:rsidP="00C55C09">
      <w:pPr>
        <w:pStyle w:val="BodyText"/>
      </w:pPr>
      <w:r w:rsidRPr="00C05574">
        <w:t>This unit describes the skills required to observe and/or listen for targets remote from the target acquisition assets and to provide information to stakeholders. This observation is normally conducted by at least two people; one person will be the observe</w:t>
      </w:r>
      <w:r w:rsidRPr="00C05574">
        <w:t xml:space="preserve">r and one will record the data. This unit covers both roles. </w:t>
      </w:r>
    </w:p>
    <w:p w:rsidR="00000000" w:rsidRPr="00C05574" w:rsidP="00C55C09">
      <w:pPr>
        <w:pStyle w:val="BodyText"/>
      </w:pPr>
      <w:r w:rsidRPr="00C05574">
        <w:t xml:space="preserve">This unit was developed for those working in Defence as combat arms personnel required to observe and/or listen for targets remote from the target acquisition assets and to provide information </w:t>
      </w:r>
      <w:r w:rsidRPr="00C05574">
        <w:t>to stakeholders in a deployed operational environment but is applicable to any individual in this field of work.</w:t>
      </w:r>
    </w:p>
    <w:p w:rsidR="00000000" w:rsidRPr="00C05574" w:rsidP="00C55C09">
      <w:pPr>
        <w:pStyle w:val="BodyText"/>
      </w:pPr>
      <w:r w:rsidRPr="00C05574">
        <w:t>The skills and knowledge described in this unit must be applied within the legislative, regulatory and policy environment in which they are ca</w:t>
      </w:r>
      <w:r w:rsidRPr="00C05574">
        <w:t>rried out. Organisational policies and procedures must be consulted and adhered to.</w:t>
      </w:r>
    </w:p>
    <w:p w:rsidR="00000000" w:rsidRPr="00C05574" w:rsidP="00C55C09">
      <w:pPr>
        <w:pStyle w:val="BodyText"/>
      </w:pPr>
      <w:r w:rsidRPr="00C05574">
        <w:t>Those undertaking this unit would work in pairs under direct and/or indirect supervision, use discretion and judgement, and take responsibility for the quality of their ou</w:t>
      </w:r>
      <w:r w:rsidRPr="00C05574">
        <w:t>tputs. They would perform specific tasks in a broad range of unpredictable contexts.</w:t>
      </w:r>
    </w:p>
    <w:p w:rsidR="00000000" w:rsidRPr="00C05574" w:rsidP="00C55C09">
      <w:pPr>
        <w:pStyle w:val="BodyText"/>
      </w:pPr>
      <w:r w:rsidRPr="00C05574">
        <w:t>No licensing, legislative, regulatory or certification requirements apply to this unit at the time of publication.</w:t>
      </w:r>
    </w:p>
    <w:p w:rsidR="00000000" w:rsidRPr="00C05574" w:rsidP="00C05574">
      <w:pPr>
        <w:pStyle w:val="Heading1"/>
      </w:pPr>
      <w:bookmarkStart w:id="3" w:name="O_731856"/>
      <w:bookmarkEnd w:id="3"/>
      <w:r w:rsidRPr="00C05574">
        <w:t>Competency Field</w:t>
      </w:r>
    </w:p>
    <w:p w:rsidR="00000000" w:rsidRPr="00C05574" w:rsidP="00C55C09">
      <w:pPr>
        <w:pStyle w:val="BodyText"/>
      </w:pPr>
      <w:r w:rsidRPr="00C05574">
        <w:t>Military Skills</w:t>
      </w:r>
    </w:p>
    <w:p w:rsidR="00000000" w:rsidRPr="00C05574" w:rsidP="00C05574">
      <w:pPr>
        <w:pStyle w:val="Heading1"/>
      </w:pPr>
      <w:bookmarkStart w:id="4" w:name="O_731858"/>
      <w:bookmarkEnd w:id="4"/>
      <w:r w:rsidRPr="00C055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05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PERFORMANCE CRITERIA</w:t>
            </w:r>
          </w:p>
        </w:tc>
      </w:tr>
      <w:tr w:rsidTr="00C05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BodyText"/>
              <w:rPr>
                <w:lang w:val="en-NZ"/>
              </w:rPr>
            </w:pPr>
            <w:r w:rsidRPr="00C0557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BodyText"/>
              <w:rPr>
                <w:lang w:val="en-NZ"/>
              </w:rPr>
            </w:pPr>
            <w:r w:rsidRPr="00C05574">
              <w:t>Performance criteria describe the performance needed to demonstrate achievement of the element. Where bold italicised text is used, fu</w:t>
            </w:r>
            <w:r w:rsidRPr="00C05574">
              <w:t>rther information is detailed in the range of conditions section.</w:t>
            </w:r>
          </w:p>
        </w:tc>
      </w:tr>
      <w:tr w:rsidTr="00C05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List"/>
              <w:rPr>
                <w:lang w:val="en-NZ"/>
              </w:rPr>
            </w:pPr>
            <w:r w:rsidRPr="00C05574">
              <w:rPr>
                <w:rStyle w:val="SpecialBold"/>
              </w:rPr>
              <w:t>1.</w:t>
            </w:r>
            <w:r w:rsidRPr="00C05574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574" w:rsidP="00C05574">
            <w:pPr>
              <w:pStyle w:val="List"/>
            </w:pPr>
            <w:r w:rsidRPr="00C05574">
              <w:t>1.1</w:t>
            </w:r>
            <w:r w:rsidRPr="00C05574">
              <w:tab/>
              <w:t>Occupy vantage point and maintain concealment.</w:t>
            </w:r>
          </w:p>
          <w:p w:rsidR="00000000" w:rsidRPr="00C05574" w:rsidP="00C05574">
            <w:pPr>
              <w:pStyle w:val="List"/>
            </w:pPr>
            <w:r w:rsidRPr="00C05574">
              <w:t>1.2</w:t>
            </w:r>
            <w:r w:rsidRPr="00C05574">
              <w:tab/>
              <w:t>Establish occupied position.</w:t>
            </w:r>
          </w:p>
          <w:p w:rsidR="00000000" w:rsidRPr="00C05574" w:rsidP="00C05574">
            <w:pPr>
              <w:pStyle w:val="List"/>
            </w:pPr>
            <w:r w:rsidRPr="00C05574">
              <w:t>1.3</w:t>
            </w:r>
            <w:r w:rsidRPr="00C05574">
              <w:tab/>
              <w:t>Establish reference points and document information.</w:t>
            </w:r>
          </w:p>
          <w:p w:rsidR="00000000" w:rsidP="00C05574">
            <w:pPr>
              <w:pStyle w:val="List"/>
              <w:rPr>
                <w:lang w:val="en-NZ"/>
              </w:rPr>
            </w:pPr>
            <w:r w:rsidRPr="00C05574">
              <w:t>1.4</w:t>
            </w:r>
            <w:r w:rsidRPr="00C05574">
              <w:tab/>
              <w:t>Observe and</w:t>
            </w:r>
            <w:r w:rsidRPr="00C05574">
              <w:t xml:space="preserve"> monitor possible threats so that an appropriate plan of action can be prepared.</w:t>
            </w:r>
          </w:p>
        </w:tc>
      </w:tr>
      <w:tr w:rsidTr="00C05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List"/>
              <w:rPr>
                <w:lang w:val="en-NZ"/>
              </w:rPr>
            </w:pPr>
            <w:r w:rsidRPr="00C05574">
              <w:rPr>
                <w:rStyle w:val="SpecialBold"/>
              </w:rPr>
              <w:t>2.</w:t>
            </w:r>
            <w:r w:rsidRPr="00C05574">
              <w:rPr>
                <w:rStyle w:val="SpecialBold"/>
              </w:rPr>
              <w:tab/>
              <w:t>Detect target/s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574" w:rsidP="00C05574">
            <w:pPr>
              <w:pStyle w:val="List"/>
            </w:pPr>
            <w:r w:rsidRPr="00C05574">
              <w:t>2.1</w:t>
            </w:r>
            <w:r w:rsidRPr="00C05574">
              <w:tab/>
              <w:t>Establish target position via aural and visual observation, and estimate bearing and distance.</w:t>
            </w:r>
          </w:p>
          <w:p w:rsidR="00000000" w:rsidRPr="00C05574" w:rsidP="00C05574">
            <w:pPr>
              <w:pStyle w:val="List"/>
            </w:pPr>
            <w:r w:rsidRPr="00C05574">
              <w:t>2.2</w:t>
            </w:r>
            <w:r w:rsidRPr="00C05574">
              <w:tab/>
            </w:r>
            <w:r w:rsidRPr="00C05574">
              <w:t>Identify and classify threat (if present) through visual or aural recognition, or by crater analysis.</w:t>
            </w:r>
          </w:p>
          <w:p w:rsidR="00000000" w:rsidRPr="00C05574" w:rsidP="00C05574">
            <w:pPr>
              <w:pStyle w:val="List"/>
            </w:pPr>
            <w:r w:rsidRPr="00C05574">
              <w:t>2.3</w:t>
            </w:r>
            <w:r w:rsidRPr="00C05574">
              <w:tab/>
              <w:t>Estimate enemy capability.</w:t>
            </w:r>
          </w:p>
          <w:p w:rsidR="00000000" w:rsidRPr="00C05574" w:rsidP="00C05574">
            <w:pPr>
              <w:pStyle w:val="List"/>
            </w:pPr>
            <w:r w:rsidRPr="00C05574">
              <w:t>2.4</w:t>
            </w:r>
            <w:r w:rsidRPr="00C05574">
              <w:tab/>
              <w:t>Monitor hostile action from prepared position.</w:t>
            </w:r>
          </w:p>
          <w:p w:rsidR="00000000" w:rsidP="00C05574">
            <w:pPr>
              <w:pStyle w:val="List"/>
              <w:rPr>
                <w:lang w:val="en-NZ"/>
              </w:rPr>
            </w:pPr>
            <w:r w:rsidRPr="00C05574">
              <w:t>2.5</w:t>
            </w:r>
            <w:r w:rsidRPr="00C05574">
              <w:tab/>
              <w:t>Maintain communications with stakeholders.</w:t>
            </w:r>
          </w:p>
        </w:tc>
      </w:tr>
      <w:tr w:rsidTr="00C055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List"/>
              <w:rPr>
                <w:lang w:val="en-NZ"/>
              </w:rPr>
            </w:pPr>
            <w:r w:rsidRPr="00C05574">
              <w:rPr>
                <w:rStyle w:val="SpecialBold"/>
              </w:rPr>
              <w:t>3.</w:t>
            </w:r>
            <w:r w:rsidRPr="00C05574">
              <w:rPr>
                <w:rStyle w:val="SpecialBold"/>
              </w:rPr>
              <w:tab/>
              <w:t>Provide information o</w:t>
            </w:r>
            <w:r w:rsidRPr="00C05574">
              <w:rPr>
                <w:rStyle w:val="SpecialBold"/>
              </w:rPr>
              <w:t>n target to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574" w:rsidP="00C05574">
            <w:pPr>
              <w:pStyle w:val="List"/>
            </w:pPr>
            <w:r w:rsidRPr="00C05574">
              <w:t>3.1</w:t>
            </w:r>
            <w:r w:rsidRPr="00C05574">
              <w:tab/>
              <w:t>Describe target to stakeholders.</w:t>
            </w:r>
          </w:p>
          <w:p w:rsidR="00000000" w:rsidRPr="00C05574" w:rsidP="00C05574">
            <w:pPr>
              <w:pStyle w:val="List"/>
            </w:pPr>
            <w:r w:rsidRPr="00C05574">
              <w:t>3.2</w:t>
            </w:r>
            <w:r w:rsidRPr="00C05574">
              <w:tab/>
              <w:t>Maintain records.</w:t>
            </w:r>
          </w:p>
        </w:tc>
      </w:tr>
    </w:tbl>
    <w:p w:rsidR="00C55C09" w:rsidP="00C05574">
      <w:pPr>
        <w:pStyle w:val="BodyText"/>
      </w:pPr>
    </w:p>
    <w:p w:rsidR="00C55C09" w:rsidP="00C05574">
      <w:pPr>
        <w:pStyle w:val="BodyText"/>
      </w:pPr>
    </w:p>
    <w:p w:rsidR="00000000" w:rsidRPr="00C05574" w:rsidP="00C05574">
      <w:pPr>
        <w:pStyle w:val="Heading1"/>
      </w:pPr>
      <w:bookmarkStart w:id="5" w:name="O_731859"/>
      <w:bookmarkEnd w:id="5"/>
      <w:r w:rsidRPr="00C05574">
        <w:t>Foundation Skills</w:t>
      </w:r>
    </w:p>
    <w:p w:rsidR="00C55C09" w:rsidP="00C55C09">
      <w:pPr>
        <w:pStyle w:val="BodyText"/>
      </w:pPr>
      <w:r w:rsidRPr="00C05574">
        <w:t>The foundation skills demands of this unit have been mapped for alignment with the Australian Core Skills Framework (ACSF). The follow</w:t>
      </w:r>
      <w:r w:rsidRPr="00C05574">
        <w:t>ing tables outline the performance levels indicated for successful attainment of the unit.</w:t>
      </w:r>
    </w:p>
    <w:p w:rsidR="00C55C09" w:rsidP="00C05574">
      <w:pPr>
        <w:pStyle w:val="BodyText"/>
      </w:pPr>
    </w:p>
    <w:p w:rsidR="00C55C09" w:rsidP="00C05574">
      <w:pPr>
        <w:pStyle w:val="BodyText"/>
      </w:pPr>
      <w:bookmarkStart w:id="6" w:name="O_74314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4.5pt;width:475.5pt">
            <v:imagedata r:id="rId10" o:title=""/>
          </v:shape>
        </w:pict>
      </w:r>
      <w:bookmarkEnd w:id="6"/>
    </w:p>
    <w:p w:rsidR="00C55C09" w:rsidP="00C05574">
      <w:pPr>
        <w:pStyle w:val="BodyText"/>
      </w:pPr>
    </w:p>
    <w:p w:rsidR="00000000" w:rsidRPr="00C05574" w:rsidP="00C55C09">
      <w:pPr>
        <w:pStyle w:val="BodyText"/>
      </w:pPr>
      <w:r w:rsidRPr="00C05574">
        <w:t>Further information on ACSF and the foundation skills underpinning this unit can be found in the Foundation Skills Guide on the GSA website.</w:t>
      </w:r>
    </w:p>
    <w:p w:rsidR="00000000" w:rsidRPr="00C05574" w:rsidP="00C05574">
      <w:pPr>
        <w:pStyle w:val="Heading1"/>
      </w:pPr>
      <w:bookmarkStart w:id="7" w:name="O_731861"/>
      <w:bookmarkEnd w:id="7"/>
      <w:r w:rsidRPr="00C05574">
        <w:t>Unit Mapping Information</w:t>
      </w:r>
    </w:p>
    <w:p w:rsidR="00000000" w:rsidRPr="00C05574" w:rsidP="00C55C09">
      <w:pPr>
        <w:pStyle w:val="BodyText"/>
      </w:pPr>
      <w:r w:rsidRPr="00C05574">
        <w:t>This unit supersedes and is equivalent to DEFCA001B Operate remote sensor</w:t>
      </w:r>
      <w:r w:rsidRPr="00C05574">
        <w:t>s to detect targets.</w:t>
      </w:r>
    </w:p>
    <w:p w:rsidR="00000000" w:rsidRPr="00C05574" w:rsidP="00C05574">
      <w:pPr>
        <w:pStyle w:val="Heading1"/>
      </w:pPr>
      <w:bookmarkStart w:id="8" w:name="O_731868"/>
      <w:bookmarkEnd w:id="8"/>
      <w:r w:rsidRPr="00C05574">
        <w:t>Links</w:t>
      </w:r>
    </w:p>
    <w:p w:rsidR="00000000" w:rsidRPr="00C05574" w:rsidP="00C55C09">
      <w:pPr>
        <w:pStyle w:val="BodyText"/>
      </w:pPr>
      <w:r w:rsidRPr="00C05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3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5574" w:rsidP="00C55C09">
      <w:pPr>
        <w:pStyle w:val="BodyText"/>
      </w:pPr>
      <w:r w:rsidRPr="00C05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3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5574" w:rsidP="00C55C09">
      <w:pPr>
        <w:pStyle w:val="BodyText"/>
      </w:pPr>
      <w:r w:rsidRPr="00C05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3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5574" w:rsidP="00C55C09">
      <w:pPr>
        <w:pStyle w:val="BodyText"/>
        <w:sectPr w:rsidSect="00C05574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574" w:rsidP="00C05574">
      <w:pPr>
        <w:pStyle w:val="SuperHeading"/>
      </w:pPr>
      <w:r w:rsidRPr="00C05574">
        <w:t>Assessment Requirements for DEFMIL021 Observe and monitor hostile areas to detect targets</w:t>
      </w:r>
    </w:p>
    <w:p w:rsidR="00000000" w:rsidRPr="00C05574" w:rsidP="00C05574">
      <w:pPr>
        <w:pStyle w:val="Heading1"/>
      </w:pPr>
      <w:bookmarkStart w:id="9" w:name="O_731863"/>
      <w:bookmarkEnd w:id="9"/>
      <w:r w:rsidRPr="00C055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5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TableHeading"/>
              <w:rPr>
                <w:lang w:val="en-NZ"/>
              </w:rPr>
            </w:pPr>
            <w:r w:rsidRPr="00C05574">
              <w:t>Comments</w:t>
            </w:r>
          </w:p>
        </w:tc>
      </w:tr>
      <w:tr w:rsidTr="00C5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574">
            <w:pPr>
              <w:pStyle w:val="BodyText"/>
              <w:rPr>
                <w:lang w:val="en-NZ"/>
              </w:rPr>
            </w:pPr>
            <w:r w:rsidRPr="00C0557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574" w:rsidP="00C05574">
            <w:pPr>
              <w:pStyle w:val="BodyText"/>
            </w:pPr>
            <w:r w:rsidRPr="00C05574">
              <w:t>These Assessment Requirements were released in DEF Defence Training Package</w:t>
            </w:r>
            <w:r w:rsidRPr="00C05574">
              <w:t xml:space="preserve"> release 1.0 and meet the Standards for Training Packages. </w:t>
            </w:r>
          </w:p>
          <w:p w:rsidR="00000000" w:rsidRPr="00C05574" w:rsidP="00C05574">
            <w:pPr>
              <w:pStyle w:val="BodyText"/>
            </w:pPr>
          </w:p>
          <w:p w:rsidR="00000000" w:rsidRPr="00C05574" w:rsidP="00C05574">
            <w:pPr>
              <w:pStyle w:val="ListBullet"/>
            </w:pPr>
            <w:r w:rsidRPr="00C05574">
              <w:t>Assessment Requirements created drawing upon specified assessment information from superseded unit</w:t>
            </w:r>
          </w:p>
        </w:tc>
      </w:tr>
    </w:tbl>
    <w:p w:rsidR="00000000" w:rsidRPr="00C05574" w:rsidP="00C05574">
      <w:pPr>
        <w:pStyle w:val="BodyText"/>
      </w:pPr>
    </w:p>
    <w:p w:rsidR="00000000" w:rsidRPr="00C05574" w:rsidP="00C05574">
      <w:pPr>
        <w:pStyle w:val="AllowPageBreak"/>
      </w:pPr>
    </w:p>
    <w:p w:rsidR="00000000" w:rsidRPr="00C05574" w:rsidP="00C05574">
      <w:pPr>
        <w:pStyle w:val="Heading1"/>
      </w:pPr>
      <w:bookmarkStart w:id="10" w:name="O_731864"/>
      <w:bookmarkEnd w:id="10"/>
      <w:r w:rsidRPr="00C05574">
        <w:t>Performance Evidence</w:t>
      </w:r>
    </w:p>
    <w:p w:rsidR="00000000" w:rsidRPr="00C05574" w:rsidP="00C55C09">
      <w:pPr>
        <w:pStyle w:val="BodyText"/>
      </w:pPr>
      <w:r w:rsidRPr="00C05574">
        <w:t>Evidence required to demonstrate competence must satisf</w:t>
      </w:r>
      <w:r w:rsidRPr="00C05574">
        <w:t>y all of the requirements of the elements and performance criteria. If not otherwise specified the candidate must demonstrate evidence of performance of the following on at least one occasion.</w:t>
      </w:r>
    </w:p>
    <w:p w:rsidR="00000000" w:rsidRPr="00C05574" w:rsidP="00C05574">
      <w:pPr>
        <w:pStyle w:val="ListBullet"/>
      </w:pPr>
      <w:r w:rsidRPr="00C05574">
        <w:t>occupying and establishing a vantage point/observation post</w:t>
      </w:r>
    </w:p>
    <w:p w:rsidR="00000000" w:rsidRPr="00C05574" w:rsidP="00C05574">
      <w:pPr>
        <w:pStyle w:val="ListBullet"/>
      </w:pPr>
      <w:r w:rsidRPr="00C05574">
        <w:t>observing and monitoring a selected area</w:t>
      </w:r>
    </w:p>
    <w:p w:rsidR="00000000" w:rsidRPr="00C05574" w:rsidP="00C05574">
      <w:pPr>
        <w:pStyle w:val="ListBullet"/>
      </w:pPr>
      <w:r w:rsidRPr="00C05574">
        <w:t>identifying a threat through visual or aural means</w:t>
      </w:r>
    </w:p>
    <w:p w:rsidR="00000000" w:rsidRPr="00C05574" w:rsidP="00C05574">
      <w:pPr>
        <w:pStyle w:val="AllowPageBreak"/>
      </w:pPr>
    </w:p>
    <w:p w:rsidR="00000000" w:rsidRPr="00C05574" w:rsidP="00C05574">
      <w:pPr>
        <w:pStyle w:val="Heading1"/>
      </w:pPr>
      <w:bookmarkStart w:id="11" w:name="O_731865"/>
      <w:bookmarkEnd w:id="11"/>
      <w:r w:rsidRPr="00C05574">
        <w:t>Knowledge Evidence</w:t>
      </w:r>
    </w:p>
    <w:p w:rsidR="00000000" w:rsidRPr="00C05574" w:rsidP="00C55C09">
      <w:pPr>
        <w:pStyle w:val="BodyText"/>
      </w:pPr>
      <w:r w:rsidRPr="00C05574">
        <w:t>Evidence required to demonstrate competence must satisfy all of the requirements of the elements and performance criteria. If no</w:t>
      </w:r>
      <w:r w:rsidRPr="00C05574">
        <w:t>t otherwise specified the depth of knowledge demonstrated must be appropriate to the job context of the candidate.</w:t>
      </w:r>
    </w:p>
    <w:p w:rsidR="00000000" w:rsidRPr="00C05574" w:rsidP="00C05574">
      <w:pPr>
        <w:pStyle w:val="ListBullet"/>
      </w:pPr>
      <w:r w:rsidRPr="00C05574">
        <w:t>communication procedures</w:t>
      </w:r>
    </w:p>
    <w:p w:rsidR="00000000" w:rsidRPr="00C05574" w:rsidP="00C05574">
      <w:pPr>
        <w:pStyle w:val="ListBullet"/>
      </w:pPr>
      <w:r w:rsidRPr="00C05574">
        <w:t xml:space="preserve">safety associated with the operations </w:t>
      </w:r>
    </w:p>
    <w:p w:rsidR="00000000" w:rsidRPr="00C05574" w:rsidP="00C05574">
      <w:pPr>
        <w:pStyle w:val="ListBullet"/>
      </w:pPr>
      <w:r w:rsidRPr="00C05574">
        <w:t>situational awareness</w:t>
      </w:r>
    </w:p>
    <w:p w:rsidR="00000000" w:rsidRPr="00C05574" w:rsidP="00C05574">
      <w:pPr>
        <w:pStyle w:val="AllowPageBreak"/>
      </w:pPr>
    </w:p>
    <w:p w:rsidR="00000000" w:rsidRPr="00C05574" w:rsidP="00C05574">
      <w:pPr>
        <w:pStyle w:val="Heading1"/>
      </w:pPr>
      <w:bookmarkStart w:id="12" w:name="O_731866"/>
      <w:bookmarkEnd w:id="12"/>
      <w:r w:rsidRPr="00C05574">
        <w:t>Assessment Conditions</w:t>
      </w:r>
    </w:p>
    <w:p w:rsidR="00000000" w:rsidRPr="00C05574" w:rsidP="00C55C09">
      <w:pPr>
        <w:pStyle w:val="BodyText"/>
      </w:pPr>
      <w:r w:rsidRPr="00C05574">
        <w:t>Competency shou</w:t>
      </w:r>
      <w:r w:rsidRPr="00C05574">
        <w:t xml:space="preserve">ld be assessed in an actual workplace or in a simulated environment, with access to equipment and infrastructure appropriate to the outcome. Competency should be demonstrated over time to ensure the candidate is assessed across a variety of situations. </w:t>
      </w:r>
    </w:p>
    <w:p w:rsidR="00000000" w:rsidRPr="00C05574" w:rsidP="00C55C09">
      <w:pPr>
        <w:pStyle w:val="BodyText"/>
      </w:pPr>
      <w:r w:rsidRPr="00C05574">
        <w:t>A</w:t>
      </w:r>
      <w:r w:rsidRPr="00C05574">
        <w:t>ssessors must satisfy the NVR/AQTF mandatory competency requirements for assessors.</w:t>
      </w:r>
    </w:p>
    <w:p w:rsidR="00000000" w:rsidRPr="00C05574" w:rsidP="00C05574">
      <w:pPr>
        <w:pStyle w:val="Heading1"/>
      </w:pPr>
      <w:bookmarkStart w:id="13" w:name="O_731869"/>
      <w:bookmarkEnd w:id="13"/>
      <w:r w:rsidRPr="00C05574">
        <w:t>Links</w:t>
      </w:r>
    </w:p>
    <w:p w:rsidR="00000000" w:rsidRPr="00C05574" w:rsidP="00C55C09">
      <w:pPr>
        <w:pStyle w:val="BodyText"/>
      </w:pPr>
      <w:r w:rsidRPr="00C05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3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5574" w:rsidP="00C55C09">
      <w:pPr>
        <w:pStyle w:val="BodyText"/>
      </w:pPr>
      <w:r w:rsidRPr="00C05574">
        <w:t>Com</w:t>
      </w:r>
      <w:r w:rsidRPr="00C05574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03C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5574" w:rsidP="00C05574"/>
    <w:sectPr w:rsidSect="00C05574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 w:rsidRPr="00C55C09" w:rsidP="00C55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9" w:rsidP="00C05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C09" w:rsidP="00C05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55C09" w:rsidP="00C055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 w:rsidP="00C05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C09">
      <w:t>Approved</w:t>
    </w:r>
    <w:r w:rsidR="00C55C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C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C09">
      <w:rPr>
        <w:noProof/>
      </w:rPr>
      <w:t>4</w:t>
    </w:r>
    <w:r>
      <w:rPr>
        <w:noProof/>
      </w:rPr>
      <w:fldChar w:fldCharType="end"/>
    </w:r>
  </w:p>
  <w:p w:rsidR="00C05574" w:rsidP="00C05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C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C09">
      <w:t>Public Skills Australia</w:t>
    </w:r>
    <w:r w:rsidR="00C55C09">
      <w:fldChar w:fldCharType="end"/>
    </w:r>
  </w:p>
  <w:p w:rsidR="00C05574" w:rsidP="00C05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574" w:rsidRPr="00C55C09" w:rsidP="00C55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09" w:rsidRPr="002D2AF8" w:rsidP="00C05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DEFMIL021 Observe and monitor hostile areas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C09" w:rsidP="00C055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574" w:rsidRPr="002D2AF8" w:rsidP="00C05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C09">
      <w:t>DEFMIL021 Observe and monitor hostile areas to detect targets</w:t>
    </w:r>
    <w:r w:rsidR="00C55C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C09">
      <w:rPr>
        <w:noProof/>
      </w:rPr>
      <w:t>2 March 2025</w:t>
    </w:r>
    <w:r>
      <w:fldChar w:fldCharType="end"/>
    </w:r>
  </w:p>
  <w:p w:rsidR="00C05574" w:rsidP="00C05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82E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666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574"/>
  </w:style>
  <w:style w:type="character" w:customStyle="1" w:styleId="Heading1Char">
    <w:name w:val="Heading 1 Char"/>
    <w:basedOn w:val="DefaultParagraphFont"/>
    <w:link w:val="Heading1"/>
    <w:rsid w:val="00C05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5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5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5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574"/>
    <w:rPr>
      <w:b/>
      <w:spacing w:val="0"/>
    </w:rPr>
  </w:style>
  <w:style w:type="paragraph" w:customStyle="1" w:styleId="SuperHeading">
    <w:name w:val="SuperHeading"/>
    <w:basedOn w:val="Normal"/>
    <w:rsid w:val="00C05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557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5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5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5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5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574"/>
    <w:rPr>
      <w:i/>
    </w:rPr>
  </w:style>
  <w:style w:type="paragraph" w:styleId="Caption">
    <w:name w:val="caption"/>
    <w:basedOn w:val="BodyText"/>
    <w:next w:val="Normal"/>
    <w:qFormat/>
    <w:rsid w:val="00C05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574"/>
  </w:style>
  <w:style w:type="paragraph" w:styleId="TableofFigures">
    <w:name w:val="table of figures"/>
    <w:basedOn w:val="Normal"/>
    <w:next w:val="Normal"/>
    <w:semiHidden/>
    <w:rsid w:val="00C05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5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574"/>
    <w:rPr>
      <w:rFonts w:ascii="Wingdings" w:hAnsi="Wingdings"/>
    </w:rPr>
  </w:style>
  <w:style w:type="character" w:customStyle="1" w:styleId="HotSpot">
    <w:name w:val="HotSpot"/>
    <w:rsid w:val="00C05574"/>
    <w:rPr>
      <w:color w:val="0033CC"/>
      <w:u w:val="none"/>
    </w:rPr>
  </w:style>
  <w:style w:type="paragraph" w:customStyle="1" w:styleId="BodyTextRight">
    <w:name w:val="Body Text Right"/>
    <w:basedOn w:val="BodyText"/>
    <w:rsid w:val="00C05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5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574"/>
    <w:rPr>
      <w:sz w:val="32"/>
    </w:rPr>
  </w:style>
  <w:style w:type="paragraph" w:customStyle="1" w:styleId="HeadingProcedure">
    <w:name w:val="Heading Procedure"/>
    <w:basedOn w:val="HeadingBase"/>
    <w:next w:val="Normal"/>
    <w:rsid w:val="00C05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574"/>
    <w:pPr>
      <w:spacing w:before="60" w:after="60"/>
    </w:pPr>
  </w:style>
  <w:style w:type="paragraph" w:styleId="ListContinue">
    <w:name w:val="List Continue"/>
    <w:basedOn w:val="List"/>
    <w:rsid w:val="00C05574"/>
    <w:pPr>
      <w:ind w:firstLine="0"/>
    </w:pPr>
  </w:style>
  <w:style w:type="paragraph" w:customStyle="1" w:styleId="ListNote">
    <w:name w:val="List Note"/>
    <w:basedOn w:val="List"/>
    <w:rsid w:val="00C05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574"/>
    <w:rPr>
      <w:rFonts w:ascii="Courier New" w:hAnsi="Courier New"/>
    </w:rPr>
  </w:style>
  <w:style w:type="paragraph" w:customStyle="1" w:styleId="NoteBullet">
    <w:name w:val="Note Bullet"/>
    <w:basedOn w:val="Note"/>
    <w:rsid w:val="00C05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5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574"/>
    <w:rPr>
      <w:b/>
      <w:smallCaps/>
    </w:rPr>
  </w:style>
  <w:style w:type="paragraph" w:customStyle="1" w:styleId="TableListNumber">
    <w:name w:val="Table List Number"/>
    <w:basedOn w:val="ListNumber"/>
    <w:rsid w:val="00C05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574"/>
    <w:pPr>
      <w:numPr>
        <w:numId w:val="8"/>
      </w:numPr>
    </w:pPr>
  </w:style>
  <w:style w:type="paragraph" w:customStyle="1" w:styleId="ListAlpha2">
    <w:name w:val="List Alpha 2"/>
    <w:basedOn w:val="List2"/>
    <w:rsid w:val="00C05574"/>
    <w:pPr>
      <w:numPr>
        <w:numId w:val="7"/>
      </w:numPr>
    </w:pPr>
  </w:style>
  <w:style w:type="paragraph" w:styleId="List2">
    <w:name w:val="List 2"/>
    <w:basedOn w:val="BodyText"/>
    <w:rsid w:val="00C05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5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5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574"/>
    <w:pPr>
      <w:numPr>
        <w:numId w:val="3"/>
      </w:numPr>
    </w:pPr>
  </w:style>
  <w:style w:type="paragraph" w:styleId="ListContinue2">
    <w:name w:val="List Continue 2"/>
    <w:basedOn w:val="List2"/>
    <w:rsid w:val="00C05574"/>
    <w:pPr>
      <w:ind w:firstLine="0"/>
    </w:pPr>
  </w:style>
  <w:style w:type="paragraph" w:styleId="ListContinue3">
    <w:name w:val="List Continue 3"/>
    <w:basedOn w:val="List3"/>
    <w:rsid w:val="00C05574"/>
    <w:pPr>
      <w:ind w:left="1021" w:firstLine="0"/>
    </w:pPr>
  </w:style>
  <w:style w:type="paragraph" w:styleId="ListContinue4">
    <w:name w:val="List Continue 4"/>
    <w:basedOn w:val="List4"/>
    <w:rsid w:val="00C05574"/>
    <w:pPr>
      <w:ind w:firstLine="0"/>
    </w:pPr>
  </w:style>
  <w:style w:type="paragraph" w:styleId="ListContinue5">
    <w:name w:val="List Continue 5"/>
    <w:basedOn w:val="List5"/>
    <w:rsid w:val="00C05574"/>
    <w:pPr>
      <w:ind w:firstLine="0"/>
    </w:pPr>
  </w:style>
  <w:style w:type="paragraph" w:styleId="ListNumber3">
    <w:name w:val="List Number 3"/>
    <w:basedOn w:val="List3"/>
    <w:rsid w:val="00C05574"/>
    <w:pPr>
      <w:numPr>
        <w:numId w:val="4"/>
      </w:numPr>
    </w:pPr>
  </w:style>
  <w:style w:type="paragraph" w:styleId="ListNumber4">
    <w:name w:val="List Number 4"/>
    <w:basedOn w:val="List4"/>
    <w:rsid w:val="00C05574"/>
    <w:pPr>
      <w:numPr>
        <w:numId w:val="5"/>
      </w:numPr>
    </w:pPr>
  </w:style>
  <w:style w:type="paragraph" w:styleId="ListNumber5">
    <w:name w:val="List Number 5"/>
    <w:basedOn w:val="List5"/>
    <w:rsid w:val="00C05574"/>
    <w:pPr>
      <w:numPr>
        <w:numId w:val="6"/>
      </w:numPr>
    </w:pPr>
  </w:style>
  <w:style w:type="paragraph" w:styleId="BlockText">
    <w:name w:val="Block Text"/>
    <w:basedOn w:val="Normal"/>
    <w:rsid w:val="00C05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574"/>
    <w:rPr>
      <w:sz w:val="16"/>
      <w:vertAlign w:val="superscript"/>
    </w:rPr>
  </w:style>
  <w:style w:type="character" w:customStyle="1" w:styleId="Symbols">
    <w:name w:val="Symbols"/>
    <w:basedOn w:val="DefaultParagraphFont"/>
    <w:rsid w:val="00C05574"/>
    <w:rPr>
      <w:rFonts w:ascii="Symbol" w:hAnsi="Symbol"/>
    </w:rPr>
  </w:style>
  <w:style w:type="character" w:customStyle="1" w:styleId="MenuOptions">
    <w:name w:val="Menu Options"/>
    <w:basedOn w:val="DefaultParagraphFont"/>
    <w:rsid w:val="00C05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574"/>
    <w:rPr>
      <w:b/>
    </w:rPr>
  </w:style>
  <w:style w:type="character" w:customStyle="1" w:styleId="Underlined">
    <w:name w:val="Underlined"/>
    <w:basedOn w:val="DefaultParagraphFont"/>
    <w:rsid w:val="00C05574"/>
    <w:rPr>
      <w:u w:val="single"/>
    </w:rPr>
  </w:style>
  <w:style w:type="paragraph" w:customStyle="1" w:styleId="TableBodyTextRight">
    <w:name w:val="Table Body Text Right"/>
    <w:basedOn w:val="TableBodyText"/>
    <w:rsid w:val="00C05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574"/>
    <w:rPr>
      <w:sz w:val="18"/>
    </w:rPr>
  </w:style>
  <w:style w:type="paragraph" w:customStyle="1" w:styleId="BodySmallRight">
    <w:name w:val="Body Small Right"/>
    <w:basedOn w:val="BodyTextRight"/>
    <w:rsid w:val="00C05574"/>
    <w:rPr>
      <w:sz w:val="18"/>
      <w:szCs w:val="18"/>
    </w:rPr>
  </w:style>
  <w:style w:type="paragraph" w:customStyle="1" w:styleId="MarginEdition">
    <w:name w:val="Margin Edition"/>
    <w:basedOn w:val="MarginNote"/>
    <w:rsid w:val="00C05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574"/>
    <w:rPr>
      <w:sz w:val="2"/>
      <w:szCs w:val="2"/>
    </w:rPr>
  </w:style>
  <w:style w:type="character" w:customStyle="1" w:styleId="Small">
    <w:name w:val="Small"/>
    <w:basedOn w:val="DefaultParagraphFont"/>
    <w:rsid w:val="00C05574"/>
    <w:rPr>
      <w:sz w:val="16"/>
    </w:rPr>
  </w:style>
  <w:style w:type="paragraph" w:customStyle="1" w:styleId="WideTable">
    <w:name w:val="Wide Table"/>
    <w:basedOn w:val="Normal"/>
    <w:rsid w:val="00C05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574"/>
  </w:style>
  <w:style w:type="paragraph" w:styleId="Quote">
    <w:name w:val="Quote"/>
    <w:basedOn w:val="Heading1"/>
    <w:link w:val="QuoteChar"/>
    <w:qFormat/>
    <w:rsid w:val="00C05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574"/>
    <w:pPr>
      <w:pageBreakBefore/>
    </w:pPr>
  </w:style>
  <w:style w:type="paragraph" w:customStyle="1" w:styleId="Border">
    <w:name w:val="Border"/>
    <w:basedOn w:val="Normal"/>
    <w:qFormat/>
    <w:rsid w:val="00C05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574"/>
    <w:rPr>
      <w:u w:val="single"/>
    </w:rPr>
  </w:style>
  <w:style w:type="character" w:customStyle="1" w:styleId="BoldandItalics">
    <w:name w:val="Bold and Italics"/>
    <w:qFormat/>
    <w:rsid w:val="00C05574"/>
    <w:rPr>
      <w:b/>
      <w:i/>
      <w:u w:val="none"/>
    </w:rPr>
  </w:style>
  <w:style w:type="paragraph" w:styleId="BalloonText">
    <w:name w:val="Balloon Text"/>
    <w:basedOn w:val="Normal"/>
    <w:link w:val="BalloonTextChar"/>
    <w:rsid w:val="00C05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574"/>
    <w:pPr>
      <w:spacing w:before="0" w:after="0"/>
    </w:pPr>
  </w:style>
  <w:style w:type="paragraph" w:customStyle="1" w:styleId="BodyTextBold">
    <w:name w:val="Body Text Bold"/>
    <w:basedOn w:val="BodyText"/>
    <w:qFormat/>
    <w:rsid w:val="00C05574"/>
    <w:rPr>
      <w:b/>
    </w:rPr>
  </w:style>
  <w:style w:type="character" w:styleId="Hyperlink">
    <w:name w:val="Hyperlink"/>
    <w:basedOn w:val="DefaultParagraphFont"/>
    <w:uiPriority w:val="99"/>
    <w:unhideWhenUsed/>
    <w:rsid w:val="00C55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5345</Characters>
  <Application>Microsoft Office Word</Application>
  <DocSecurity>0</DocSecurity>
  <Lines>157</Lines>
  <Paragraphs>89</Paragraphs>
  <ScaleCrop>false</ScaleCrop>
  <Company>Author-it Software Corporation Ltd.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DEFMIL021 Observe and monitor hostile areas to detect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