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2B6" w:rsidP="00B86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DEFLAW006 Conduct summary authority proceedings</w:t>
      </w:r>
      <w:r>
        <w:fldChar w:fldCharType="end"/>
      </w:r>
    </w:p>
    <w:p w:rsidR="00B862B6" w:rsidP="00B862B6">
      <w:pPr>
        <w:pStyle w:val="Version"/>
        <w:sectPr w:rsidSect="00F60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B31" w:rsidP="00F60B31">
      <w:pPr>
        <w:pStyle w:val="SuperHeading"/>
      </w:pPr>
      <w:r w:rsidRPr="00F60B31">
        <w:t>DEFLAW006 Conduct summary authority proceedings</w:t>
      </w:r>
    </w:p>
    <w:p w:rsidR="00000000" w:rsidRPr="00F60B31" w:rsidP="00F60B31">
      <w:pPr>
        <w:pStyle w:val="Heading1"/>
      </w:pPr>
      <w:bookmarkStart w:id="1" w:name="O_658526"/>
      <w:bookmarkEnd w:id="1"/>
      <w:r w:rsidRPr="00F60B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86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TableHeading"/>
              <w:rPr>
                <w:lang w:val="en-NZ"/>
              </w:rPr>
            </w:pPr>
            <w:r w:rsidRPr="00F60B3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TableHeading"/>
              <w:rPr>
                <w:lang w:val="en-NZ"/>
              </w:rPr>
            </w:pPr>
            <w:r w:rsidRPr="00F60B31">
              <w:t>Comments</w:t>
            </w:r>
          </w:p>
        </w:tc>
      </w:tr>
      <w:tr w:rsidTr="00B86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BodyText"/>
              <w:rPr>
                <w:lang w:val="en-NZ"/>
              </w:rPr>
            </w:pPr>
            <w:r w:rsidRPr="00F60B3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B31" w:rsidP="00F60B31">
            <w:pPr>
              <w:pStyle w:val="BodyText"/>
            </w:pPr>
            <w:r w:rsidRPr="00F60B31">
              <w:t xml:space="preserve">This unit was released in DEF Defence Training Package release 1.0 and meets the Standards for Training Packages. </w:t>
            </w:r>
          </w:p>
          <w:p w:rsidR="00000000" w:rsidRPr="00F60B31" w:rsidP="00F60B31">
            <w:pPr>
              <w:pStyle w:val="BodyText"/>
            </w:pPr>
          </w:p>
          <w:p w:rsidR="00000000" w:rsidRPr="00F60B31" w:rsidP="00F60B31">
            <w:pPr>
              <w:pStyle w:val="BodyText"/>
            </w:pPr>
            <w:r w:rsidRPr="00F60B31">
              <w:t>This unit supersedes and is equivalent to DEFCM125A Conduct summary authority proceedings.</w:t>
            </w:r>
          </w:p>
          <w:p w:rsidR="00000000" w:rsidRPr="00F60B31" w:rsidP="00F60B31">
            <w:pPr>
              <w:pStyle w:val="BodyText"/>
            </w:pPr>
          </w:p>
          <w:p w:rsidR="00000000" w:rsidRPr="00F60B31" w:rsidP="00F60B31">
            <w:pPr>
              <w:pStyle w:val="ListBullet"/>
            </w:pPr>
            <w:r w:rsidRPr="00F60B31">
              <w:t>Unit code updated</w:t>
            </w:r>
          </w:p>
          <w:p w:rsidR="00000000" w:rsidRPr="00F60B31" w:rsidP="00F60B31">
            <w:pPr>
              <w:pStyle w:val="ListBullet"/>
            </w:pPr>
            <w:r w:rsidRPr="00F60B31">
              <w:t>Content and formatting updated to comply with new standards</w:t>
            </w:r>
          </w:p>
          <w:p w:rsidR="00000000" w:rsidRPr="00F60B31" w:rsidP="00F60B31">
            <w:pPr>
              <w:pStyle w:val="ListBullet"/>
            </w:pPr>
            <w:r w:rsidRPr="00F60B31">
              <w:t>All PC transitioned from passive to active voice</w:t>
            </w:r>
          </w:p>
          <w:p w:rsidR="00000000" w:rsidRPr="00F60B31" w:rsidP="00F60B31">
            <w:pPr>
              <w:pStyle w:val="ListBullet"/>
            </w:pPr>
            <w:r w:rsidRPr="00F60B31">
              <w:t>PC 1.1 removed</w:t>
            </w:r>
          </w:p>
        </w:tc>
      </w:tr>
    </w:tbl>
    <w:p w:rsidR="00B862B6" w:rsidP="00F60B31">
      <w:pPr>
        <w:pStyle w:val="BodyText"/>
      </w:pPr>
    </w:p>
    <w:p w:rsidR="00B862B6" w:rsidP="00F60B31">
      <w:pPr>
        <w:pStyle w:val="BodyText"/>
      </w:pPr>
    </w:p>
    <w:p w:rsidR="00000000" w:rsidRPr="00F60B31" w:rsidP="00F60B31">
      <w:pPr>
        <w:pStyle w:val="Heading1"/>
      </w:pPr>
      <w:bookmarkStart w:id="2" w:name="O_658527"/>
      <w:bookmarkEnd w:id="2"/>
      <w:r w:rsidRPr="00F60B31">
        <w:t>Application</w:t>
      </w:r>
    </w:p>
    <w:p w:rsidR="00000000" w:rsidRPr="00F60B31" w:rsidP="00B862B6">
      <w:pPr>
        <w:pStyle w:val="BodyText"/>
      </w:pPr>
      <w:r w:rsidRPr="00F60B31">
        <w:t xml:space="preserve">This unit describes the skills required to conduct service summary </w:t>
      </w:r>
      <w:r w:rsidRPr="00F60B31">
        <w:t>trials under the Defence Force Discipline Act (DFDA). These proceedings may include subordinate summary, summary, superior summary.</w:t>
      </w:r>
    </w:p>
    <w:p w:rsidR="00000000" w:rsidRPr="00F60B31" w:rsidP="00B862B6">
      <w:pPr>
        <w:pStyle w:val="BodyText"/>
      </w:pPr>
      <w:r w:rsidRPr="00F60B31">
        <w:t>This unit applies to those working as Defence members who are summary authorities either as an automatic consequence of app</w:t>
      </w:r>
      <w:r w:rsidRPr="00F60B31">
        <w:t>ointment (such as command) or by an instrument of appointment.</w:t>
      </w:r>
    </w:p>
    <w:p w:rsidR="00000000" w:rsidRPr="00F60B31" w:rsidP="00B862B6">
      <w:pPr>
        <w:pStyle w:val="BodyText"/>
      </w:pPr>
      <w:r w:rsidRPr="00F60B31">
        <w:t xml:space="preserve">The skills and knowledge described in this unit must be applied within the legislative, regulatory and policy environment in which they are carried out. Organisational policies and procedures </w:t>
      </w:r>
      <w:r w:rsidRPr="00F60B31">
        <w:t>must be consulted and adhered to.</w:t>
      </w:r>
    </w:p>
    <w:p w:rsidR="00000000" w:rsidRPr="00F60B31" w:rsidP="00B862B6">
      <w:pPr>
        <w:pStyle w:val="BodyText"/>
      </w:pPr>
      <w:r w:rsidRPr="00F60B31">
        <w:t>Those undertaking this unit would work autonomously with legal support, while performing sophisticated tasks in a broad range of contexts.</w:t>
      </w:r>
    </w:p>
    <w:p w:rsidR="00000000" w:rsidRPr="00F60B31" w:rsidP="00B862B6">
      <w:pPr>
        <w:pStyle w:val="BodyText"/>
      </w:pPr>
      <w:r w:rsidRPr="00F60B31">
        <w:t>No licensing, legislative or certification requirements apply to unit at the time</w:t>
      </w:r>
      <w:r w:rsidRPr="00F60B31">
        <w:t xml:space="preserve"> of publication.</w:t>
      </w:r>
    </w:p>
    <w:p w:rsidR="00000000" w:rsidRPr="00F60B31" w:rsidP="00F60B31">
      <w:pPr>
        <w:pStyle w:val="Heading1"/>
      </w:pPr>
      <w:bookmarkStart w:id="3" w:name="O_658529"/>
      <w:bookmarkEnd w:id="3"/>
      <w:r w:rsidRPr="00F60B31">
        <w:t>Competency Field</w:t>
      </w:r>
    </w:p>
    <w:p w:rsidR="00000000" w:rsidRPr="00F60B31" w:rsidP="00B862B6">
      <w:pPr>
        <w:pStyle w:val="BodyText"/>
      </w:pPr>
      <w:r w:rsidRPr="00F60B31">
        <w:t>Military Justice</w:t>
      </w:r>
    </w:p>
    <w:p w:rsidR="00000000" w:rsidRPr="00F60B31" w:rsidP="00F60B31">
      <w:pPr>
        <w:pStyle w:val="Heading1"/>
      </w:pPr>
      <w:bookmarkStart w:id="4" w:name="O_658531"/>
      <w:bookmarkEnd w:id="4"/>
      <w:r w:rsidRPr="00F60B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F6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TableHeading"/>
              <w:rPr>
                <w:lang w:val="en-NZ"/>
              </w:rPr>
            </w:pPr>
            <w:r w:rsidRPr="00F60B3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TableHeading"/>
              <w:rPr>
                <w:lang w:val="en-NZ"/>
              </w:rPr>
            </w:pPr>
            <w:r w:rsidRPr="00F60B31">
              <w:t>PERFORMANCE CRITERIA</w:t>
            </w:r>
          </w:p>
        </w:tc>
      </w:tr>
      <w:tr w:rsidTr="00F6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BodyText"/>
              <w:rPr>
                <w:lang w:val="en-NZ"/>
              </w:rPr>
            </w:pPr>
            <w:r w:rsidRPr="00F60B3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BodyText"/>
              <w:rPr>
                <w:lang w:val="en-NZ"/>
              </w:rPr>
            </w:pPr>
            <w:r w:rsidRPr="00F60B3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6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List"/>
              <w:rPr>
                <w:lang w:val="en-NZ"/>
              </w:rPr>
            </w:pPr>
            <w:r w:rsidRPr="00F60B31">
              <w:rPr>
                <w:rStyle w:val="SpecialBold"/>
              </w:rPr>
              <w:t>1.</w:t>
            </w:r>
            <w:r w:rsidRPr="00F60B31">
              <w:rPr>
                <w:rStyle w:val="SpecialBold"/>
              </w:rPr>
              <w:tab/>
              <w:t>Conduct summary trials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B31" w:rsidP="00F60B31">
            <w:pPr>
              <w:pStyle w:val="List"/>
            </w:pPr>
            <w:r w:rsidRPr="00F60B31">
              <w:t>1.1</w:t>
            </w:r>
            <w:r w:rsidRPr="00F60B31">
              <w:tab/>
              <w:t>Determine jurisdiction.</w:t>
            </w:r>
          </w:p>
          <w:p w:rsidR="00000000" w:rsidRPr="00F60B31" w:rsidP="00F60B31">
            <w:pPr>
              <w:pStyle w:val="List"/>
            </w:pPr>
            <w:r w:rsidRPr="00F60B31">
              <w:t>1</w:t>
            </w:r>
            <w:r w:rsidRPr="00F60B31">
              <w:t>.2</w:t>
            </w:r>
            <w:r w:rsidRPr="00F60B31">
              <w:tab/>
              <w:t>Make a determination by assessing applications and objections.</w:t>
            </w:r>
          </w:p>
          <w:p w:rsidR="00000000" w:rsidRPr="00F60B31" w:rsidP="00F60B31">
            <w:pPr>
              <w:pStyle w:val="List"/>
            </w:pPr>
            <w:r w:rsidRPr="00F60B31">
              <w:t>1.3</w:t>
            </w:r>
            <w:r w:rsidRPr="00F60B31">
              <w:tab/>
              <w:t>Conduct trial proceedings.</w:t>
            </w:r>
          </w:p>
          <w:p w:rsidR="00000000" w:rsidRPr="00F60B31" w:rsidP="00F60B31">
            <w:pPr>
              <w:pStyle w:val="List"/>
            </w:pPr>
            <w:r w:rsidRPr="00F60B31">
              <w:t>1.4</w:t>
            </w:r>
            <w:r w:rsidRPr="00F60B31">
              <w:tab/>
              <w:t>Assess evidence, examine trial documentation and seek clarification.</w:t>
            </w:r>
          </w:p>
          <w:p w:rsidR="00000000" w:rsidRPr="00F60B31" w:rsidP="00F60B31">
            <w:pPr>
              <w:pStyle w:val="List"/>
            </w:pPr>
            <w:r w:rsidRPr="00F60B31">
              <w:t>1.5</w:t>
            </w:r>
            <w:r w:rsidRPr="00F60B31">
              <w:tab/>
              <w:t>Determine guilt or innocence and give a judgement.</w:t>
            </w:r>
          </w:p>
          <w:p w:rsidR="00000000" w:rsidRPr="00F60B31" w:rsidP="00F60B31">
            <w:pPr>
              <w:pStyle w:val="List"/>
            </w:pPr>
            <w:r w:rsidRPr="00F60B31">
              <w:t>1.6</w:t>
            </w:r>
            <w:r w:rsidRPr="00F60B31">
              <w:tab/>
              <w:t>Listen to, interpret and de</w:t>
            </w:r>
            <w:r w:rsidRPr="00F60B31">
              <w:t>termine validity of plea/s.</w:t>
            </w:r>
          </w:p>
          <w:p w:rsidR="00000000" w:rsidRPr="00F60B31" w:rsidP="00F60B31">
            <w:pPr>
              <w:pStyle w:val="List"/>
            </w:pPr>
            <w:r w:rsidRPr="00F60B31">
              <w:t>1.7</w:t>
            </w:r>
            <w:r w:rsidRPr="00F60B31">
              <w:tab/>
              <w:t>Listen to and interpret prosecutorial advice and mitigation.</w:t>
            </w:r>
          </w:p>
          <w:p w:rsidR="00000000" w:rsidP="00F60B31">
            <w:pPr>
              <w:pStyle w:val="List"/>
              <w:rPr>
                <w:lang w:val="en-NZ"/>
              </w:rPr>
            </w:pPr>
            <w:r w:rsidRPr="00F60B31">
              <w:t>1.8</w:t>
            </w:r>
            <w:r w:rsidRPr="00F60B31">
              <w:tab/>
              <w:t>Impose punishment/s and provide reasons.</w:t>
            </w:r>
          </w:p>
        </w:tc>
      </w:tr>
      <w:tr w:rsidTr="00F6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B31">
            <w:pPr>
              <w:pStyle w:val="List"/>
              <w:rPr>
                <w:lang w:val="en-NZ"/>
              </w:rPr>
            </w:pPr>
            <w:r w:rsidRPr="00F60B31">
              <w:rPr>
                <w:rStyle w:val="SpecialBold"/>
              </w:rPr>
              <w:t>2.</w:t>
            </w:r>
            <w:r w:rsidRPr="00F60B31">
              <w:rPr>
                <w:rStyle w:val="SpecialBold"/>
              </w:rPr>
              <w:tab/>
              <w:t>Complete post-trial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B31" w:rsidP="00F60B31">
            <w:pPr>
              <w:pStyle w:val="List"/>
            </w:pPr>
            <w:r w:rsidRPr="00F60B31">
              <w:t>2.1</w:t>
            </w:r>
            <w:r w:rsidRPr="00F60B31">
              <w:tab/>
              <w:t>Conduct post-trial procedures.</w:t>
            </w:r>
          </w:p>
          <w:p w:rsidR="00000000" w:rsidRPr="00F60B31" w:rsidP="00F60B31">
            <w:pPr>
              <w:pStyle w:val="List"/>
            </w:pPr>
            <w:r w:rsidRPr="00F60B31">
              <w:t>2.2</w:t>
            </w:r>
            <w:r w:rsidRPr="00F60B31">
              <w:tab/>
            </w:r>
            <w:r w:rsidRPr="00F60B31">
              <w:t>Complete, process and store post-trial documentation.</w:t>
            </w:r>
          </w:p>
        </w:tc>
      </w:tr>
    </w:tbl>
    <w:p w:rsidR="00000000" w:rsidRPr="00F60B31" w:rsidP="00F60B31">
      <w:pPr>
        <w:pStyle w:val="BodyText"/>
      </w:pPr>
    </w:p>
    <w:p w:rsidR="00000000" w:rsidRPr="00F60B31" w:rsidP="00F60B31">
      <w:pPr>
        <w:pStyle w:val="AllowPageBreak"/>
      </w:pPr>
    </w:p>
    <w:p w:rsidR="00000000" w:rsidRPr="00F60B31" w:rsidP="00F60B31">
      <w:pPr>
        <w:pStyle w:val="Heading1"/>
      </w:pPr>
      <w:bookmarkStart w:id="5" w:name="O_658532"/>
      <w:bookmarkEnd w:id="5"/>
      <w:r w:rsidRPr="00F60B31">
        <w:t>Foundation Skills</w:t>
      </w:r>
    </w:p>
    <w:p w:rsidR="00000000" w:rsidRPr="00F60B31" w:rsidP="00B862B6">
      <w:pPr>
        <w:pStyle w:val="BodyText"/>
      </w:pPr>
      <w:r w:rsidRPr="00F60B31">
        <w:t>The foundation skills demands of this unit have been mapped for alignment with the Australian Core Skills Framework (ACSF). The following tables outline the performa</w:t>
      </w:r>
      <w:r w:rsidRPr="00F60B31">
        <w:t>nce levels indicated for successful attainment of the unit.</w:t>
      </w:r>
    </w:p>
    <w:p w:rsidR="00000000" w:rsidRPr="00F60B31" w:rsidP="00B862B6">
      <w:pPr>
        <w:pStyle w:val="BodyText"/>
      </w:pPr>
      <w:r w:rsidRPr="00F60B31">
        <w:t>ACSF levels indicative of performance:</w:t>
      </w:r>
    </w:p>
    <w:p w:rsidR="00000000" w:rsidRPr="00F60B31" w:rsidP="00F60B31">
      <w:pPr>
        <w:pStyle w:val="BodyText"/>
      </w:pPr>
      <w:bookmarkStart w:id="6" w:name="O_71780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2.75pt;width:467.25pt">
            <v:imagedata r:id="rId10" o:title=""/>
          </v:shape>
        </w:pict>
      </w:r>
      <w:bookmarkEnd w:id="6"/>
    </w:p>
    <w:p w:rsidR="00000000" w:rsidRPr="00F60B31" w:rsidP="00F60B31">
      <w:pPr>
        <w:pStyle w:val="BodyText"/>
      </w:pPr>
    </w:p>
    <w:p w:rsidR="00000000" w:rsidRPr="00F60B31" w:rsidP="00B862B6">
      <w:pPr>
        <w:pStyle w:val="BodyText"/>
      </w:pPr>
      <w:r w:rsidRPr="00F60B31">
        <w:t>Further information</w:t>
      </w:r>
      <w:r w:rsidRPr="00F60B31">
        <w:t xml:space="preserve"> on ACSF and the foundation skills underpinning this unit can be found in the Foundation Skills Guide on the GSA website.</w:t>
      </w:r>
    </w:p>
    <w:p w:rsidR="00000000" w:rsidRPr="00F60B31" w:rsidP="00F60B31">
      <w:pPr>
        <w:pStyle w:val="Heading1"/>
      </w:pPr>
      <w:bookmarkStart w:id="7" w:name="O_658534"/>
      <w:bookmarkEnd w:id="7"/>
      <w:r w:rsidRPr="00F60B31">
        <w:t>Unit Mapping Information</w:t>
      </w:r>
    </w:p>
    <w:p w:rsidR="00000000" w:rsidRPr="00F60B31" w:rsidP="00B862B6">
      <w:pPr>
        <w:pStyle w:val="BodyText"/>
      </w:pPr>
      <w:r w:rsidRPr="00F60B31">
        <w:t>This unit supersedes and is equivalent to DEFCM125A Conduct summary authority proceedings.</w:t>
      </w:r>
    </w:p>
    <w:p w:rsidR="00000000" w:rsidRPr="00F60B31" w:rsidP="00F60B31">
      <w:pPr>
        <w:pStyle w:val="Heading1"/>
      </w:pPr>
      <w:bookmarkStart w:id="8" w:name="O_658541"/>
      <w:bookmarkEnd w:id="8"/>
      <w:r w:rsidRPr="00F60B31">
        <w:t>Links</w:t>
      </w:r>
    </w:p>
    <w:p w:rsidR="00000000" w:rsidRPr="00F60B31" w:rsidP="00B862B6">
      <w:pPr>
        <w:pStyle w:val="BodyText"/>
      </w:pPr>
      <w:r w:rsidRPr="00F60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02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60B31" w:rsidP="00B862B6">
      <w:pPr>
        <w:pStyle w:val="BodyText"/>
      </w:pPr>
      <w:r w:rsidRPr="00F60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02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60B31" w:rsidP="00B862B6">
      <w:pPr>
        <w:pStyle w:val="BodyText"/>
      </w:pPr>
      <w:r w:rsidRPr="00F60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02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60B31" w:rsidP="00F60B31"/>
    <w:sectPr w:rsidSect="00F60B31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B31" w:rsidRPr="00B862B6" w:rsidP="00B86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B6" w:rsidP="00F60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2B6" w:rsidP="00F60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62B6" w:rsidP="00F60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B31" w:rsidRPr="00B862B6" w:rsidP="00B862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B6" w:rsidRPr="002D2AF8" w:rsidP="00F60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DEFLAW006 Conduct summary authority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B862B6" w:rsidP="00F60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8C4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2A66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B31"/>
  </w:style>
  <w:style w:type="character" w:customStyle="1" w:styleId="Heading1Char">
    <w:name w:val="Heading 1 Char"/>
    <w:basedOn w:val="DefaultParagraphFont"/>
    <w:link w:val="Heading1"/>
    <w:rsid w:val="00F60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B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0B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0B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B31"/>
    <w:rPr>
      <w:b/>
      <w:spacing w:val="0"/>
    </w:rPr>
  </w:style>
  <w:style w:type="paragraph" w:customStyle="1" w:styleId="SuperHeading">
    <w:name w:val="SuperHeading"/>
    <w:basedOn w:val="Normal"/>
    <w:rsid w:val="00F60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0B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0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B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0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B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B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B31"/>
    <w:rPr>
      <w:i/>
    </w:rPr>
  </w:style>
  <w:style w:type="paragraph" w:styleId="Caption">
    <w:name w:val="caption"/>
    <w:basedOn w:val="BodyText"/>
    <w:next w:val="Normal"/>
    <w:qFormat/>
    <w:rsid w:val="00F60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B31"/>
  </w:style>
  <w:style w:type="paragraph" w:styleId="TableofFigures">
    <w:name w:val="table of figures"/>
    <w:basedOn w:val="Normal"/>
    <w:next w:val="Normal"/>
    <w:semiHidden/>
    <w:rsid w:val="00F60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B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B31"/>
    <w:rPr>
      <w:rFonts w:ascii="Wingdings" w:hAnsi="Wingdings"/>
    </w:rPr>
  </w:style>
  <w:style w:type="character" w:customStyle="1" w:styleId="HotSpot">
    <w:name w:val="HotSpot"/>
    <w:rsid w:val="00F60B31"/>
    <w:rPr>
      <w:color w:val="0033CC"/>
      <w:u w:val="none"/>
    </w:rPr>
  </w:style>
  <w:style w:type="paragraph" w:customStyle="1" w:styleId="BodyTextRight">
    <w:name w:val="Body Text Right"/>
    <w:basedOn w:val="BodyText"/>
    <w:rsid w:val="00F60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B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B31"/>
    <w:rPr>
      <w:sz w:val="32"/>
    </w:rPr>
  </w:style>
  <w:style w:type="paragraph" w:customStyle="1" w:styleId="HeadingProcedure">
    <w:name w:val="Heading Procedure"/>
    <w:basedOn w:val="HeadingBase"/>
    <w:next w:val="Normal"/>
    <w:rsid w:val="00F60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B31"/>
    <w:pPr>
      <w:spacing w:before="60" w:after="60"/>
    </w:pPr>
  </w:style>
  <w:style w:type="paragraph" w:styleId="ListContinue">
    <w:name w:val="List Continue"/>
    <w:basedOn w:val="List"/>
    <w:rsid w:val="00F60B31"/>
    <w:pPr>
      <w:ind w:firstLine="0"/>
    </w:pPr>
  </w:style>
  <w:style w:type="paragraph" w:customStyle="1" w:styleId="ListNote">
    <w:name w:val="List Note"/>
    <w:basedOn w:val="List"/>
    <w:rsid w:val="00F60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B31"/>
    <w:rPr>
      <w:rFonts w:ascii="Courier New" w:hAnsi="Courier New"/>
    </w:rPr>
  </w:style>
  <w:style w:type="paragraph" w:customStyle="1" w:styleId="NoteBullet">
    <w:name w:val="Note Bullet"/>
    <w:basedOn w:val="Note"/>
    <w:rsid w:val="00F60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B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B31"/>
    <w:rPr>
      <w:b/>
      <w:smallCaps/>
    </w:rPr>
  </w:style>
  <w:style w:type="paragraph" w:customStyle="1" w:styleId="TableListNumber">
    <w:name w:val="Table List Number"/>
    <w:basedOn w:val="ListNumber"/>
    <w:rsid w:val="00F60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B31"/>
    <w:pPr>
      <w:numPr>
        <w:numId w:val="8"/>
      </w:numPr>
    </w:pPr>
  </w:style>
  <w:style w:type="paragraph" w:customStyle="1" w:styleId="ListAlpha2">
    <w:name w:val="List Alpha 2"/>
    <w:basedOn w:val="List2"/>
    <w:rsid w:val="00F60B31"/>
    <w:pPr>
      <w:numPr>
        <w:numId w:val="7"/>
      </w:numPr>
    </w:pPr>
  </w:style>
  <w:style w:type="paragraph" w:styleId="List2">
    <w:name w:val="List 2"/>
    <w:basedOn w:val="BodyText"/>
    <w:rsid w:val="00F60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B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B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B31"/>
    <w:pPr>
      <w:numPr>
        <w:numId w:val="3"/>
      </w:numPr>
    </w:pPr>
  </w:style>
  <w:style w:type="paragraph" w:styleId="ListContinue2">
    <w:name w:val="List Continue 2"/>
    <w:basedOn w:val="List2"/>
    <w:rsid w:val="00F60B31"/>
    <w:pPr>
      <w:ind w:firstLine="0"/>
    </w:pPr>
  </w:style>
  <w:style w:type="paragraph" w:styleId="ListContinue3">
    <w:name w:val="List Continue 3"/>
    <w:basedOn w:val="List3"/>
    <w:rsid w:val="00F60B31"/>
    <w:pPr>
      <w:ind w:left="1021" w:firstLine="0"/>
    </w:pPr>
  </w:style>
  <w:style w:type="paragraph" w:styleId="ListContinue4">
    <w:name w:val="List Continue 4"/>
    <w:basedOn w:val="List4"/>
    <w:rsid w:val="00F60B31"/>
    <w:pPr>
      <w:ind w:firstLine="0"/>
    </w:pPr>
  </w:style>
  <w:style w:type="paragraph" w:styleId="ListContinue5">
    <w:name w:val="List Continue 5"/>
    <w:basedOn w:val="List5"/>
    <w:rsid w:val="00F60B31"/>
    <w:pPr>
      <w:ind w:firstLine="0"/>
    </w:pPr>
  </w:style>
  <w:style w:type="paragraph" w:styleId="ListNumber3">
    <w:name w:val="List Number 3"/>
    <w:basedOn w:val="List3"/>
    <w:rsid w:val="00F60B31"/>
    <w:pPr>
      <w:numPr>
        <w:numId w:val="4"/>
      </w:numPr>
    </w:pPr>
  </w:style>
  <w:style w:type="paragraph" w:styleId="ListNumber4">
    <w:name w:val="List Number 4"/>
    <w:basedOn w:val="List4"/>
    <w:rsid w:val="00F60B31"/>
    <w:pPr>
      <w:numPr>
        <w:numId w:val="5"/>
      </w:numPr>
    </w:pPr>
  </w:style>
  <w:style w:type="paragraph" w:styleId="ListNumber5">
    <w:name w:val="List Number 5"/>
    <w:basedOn w:val="List5"/>
    <w:rsid w:val="00F60B31"/>
    <w:pPr>
      <w:numPr>
        <w:numId w:val="6"/>
      </w:numPr>
    </w:pPr>
  </w:style>
  <w:style w:type="paragraph" w:styleId="BlockText">
    <w:name w:val="Block Text"/>
    <w:basedOn w:val="Normal"/>
    <w:rsid w:val="00F60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B31"/>
    <w:rPr>
      <w:sz w:val="16"/>
      <w:vertAlign w:val="superscript"/>
    </w:rPr>
  </w:style>
  <w:style w:type="character" w:customStyle="1" w:styleId="Symbols">
    <w:name w:val="Symbols"/>
    <w:basedOn w:val="DefaultParagraphFont"/>
    <w:rsid w:val="00F60B31"/>
    <w:rPr>
      <w:rFonts w:ascii="Symbol" w:hAnsi="Symbol"/>
    </w:rPr>
  </w:style>
  <w:style w:type="character" w:customStyle="1" w:styleId="MenuOptions">
    <w:name w:val="Menu Options"/>
    <w:basedOn w:val="DefaultParagraphFont"/>
    <w:rsid w:val="00F60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B31"/>
    <w:rPr>
      <w:b/>
    </w:rPr>
  </w:style>
  <w:style w:type="character" w:customStyle="1" w:styleId="Underlined">
    <w:name w:val="Underlined"/>
    <w:basedOn w:val="DefaultParagraphFont"/>
    <w:rsid w:val="00F60B31"/>
    <w:rPr>
      <w:u w:val="single"/>
    </w:rPr>
  </w:style>
  <w:style w:type="paragraph" w:customStyle="1" w:styleId="TableBodyTextRight">
    <w:name w:val="Table Body Text Right"/>
    <w:basedOn w:val="TableBodyText"/>
    <w:rsid w:val="00F60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B31"/>
    <w:rPr>
      <w:sz w:val="18"/>
    </w:rPr>
  </w:style>
  <w:style w:type="paragraph" w:customStyle="1" w:styleId="BodySmallRight">
    <w:name w:val="Body Small Right"/>
    <w:basedOn w:val="BodyTextRight"/>
    <w:rsid w:val="00F60B31"/>
    <w:rPr>
      <w:sz w:val="18"/>
      <w:szCs w:val="18"/>
    </w:rPr>
  </w:style>
  <w:style w:type="paragraph" w:customStyle="1" w:styleId="MarginEdition">
    <w:name w:val="Margin Edition"/>
    <w:basedOn w:val="MarginNote"/>
    <w:rsid w:val="00F60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B31"/>
    <w:rPr>
      <w:sz w:val="2"/>
      <w:szCs w:val="2"/>
    </w:rPr>
  </w:style>
  <w:style w:type="character" w:customStyle="1" w:styleId="Small">
    <w:name w:val="Small"/>
    <w:basedOn w:val="DefaultParagraphFont"/>
    <w:rsid w:val="00F60B31"/>
    <w:rPr>
      <w:sz w:val="16"/>
    </w:rPr>
  </w:style>
  <w:style w:type="paragraph" w:customStyle="1" w:styleId="WideTable">
    <w:name w:val="Wide Table"/>
    <w:basedOn w:val="Normal"/>
    <w:rsid w:val="00F60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B31"/>
  </w:style>
  <w:style w:type="paragraph" w:styleId="Quote">
    <w:name w:val="Quote"/>
    <w:basedOn w:val="Heading1"/>
    <w:link w:val="QuoteChar"/>
    <w:qFormat/>
    <w:rsid w:val="00F60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B31"/>
    <w:pPr>
      <w:pageBreakBefore/>
    </w:pPr>
  </w:style>
  <w:style w:type="paragraph" w:customStyle="1" w:styleId="Border">
    <w:name w:val="Border"/>
    <w:basedOn w:val="Normal"/>
    <w:qFormat/>
    <w:rsid w:val="00F60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B31"/>
    <w:rPr>
      <w:u w:val="single"/>
    </w:rPr>
  </w:style>
  <w:style w:type="character" w:customStyle="1" w:styleId="BoldandItalics">
    <w:name w:val="Bold and Italics"/>
    <w:qFormat/>
    <w:rsid w:val="00F60B31"/>
    <w:rPr>
      <w:b/>
      <w:i/>
      <w:u w:val="none"/>
    </w:rPr>
  </w:style>
  <w:style w:type="paragraph" w:styleId="BalloonText">
    <w:name w:val="Balloon Text"/>
    <w:basedOn w:val="Normal"/>
    <w:link w:val="BalloonTextChar"/>
    <w:rsid w:val="00F60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B31"/>
    <w:pPr>
      <w:spacing w:before="0" w:after="0"/>
    </w:pPr>
  </w:style>
  <w:style w:type="paragraph" w:customStyle="1" w:styleId="BodyTextBold">
    <w:name w:val="Body Text Bold"/>
    <w:basedOn w:val="BodyText"/>
    <w:qFormat/>
    <w:rsid w:val="00F60B31"/>
    <w:rPr>
      <w:b/>
    </w:rPr>
  </w:style>
  <w:style w:type="character" w:styleId="Hyperlink">
    <w:name w:val="Hyperlink"/>
    <w:basedOn w:val="DefaultParagraphFont"/>
    <w:uiPriority w:val="99"/>
    <w:unhideWhenUsed/>
    <w:rsid w:val="00B86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3168</Characters>
  <Application>Microsoft Office Word</Application>
  <DocSecurity>0</DocSecurity>
  <Lines>102</Lines>
  <Paragraphs>60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DEFLAW006 Conduct summary authority proceedings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2020-03-06T04:22:00Z</dcterms:created>
  <dcterms:modified xsi:type="dcterms:W3CDTF">2020-03-06T04:22:00Z</dcterms:modified>
</cp:coreProperties>
</file>