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008" w:rsidP="00762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DEFINT015 Locate electromagnetic emissions</w:t>
      </w:r>
      <w:r>
        <w:fldChar w:fldCharType="end"/>
      </w:r>
    </w:p>
    <w:p w:rsidR="00762008" w:rsidP="00762008">
      <w:pPr>
        <w:pStyle w:val="Version"/>
        <w:sectPr w:rsidSect="00901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A3F" w:rsidP="00901A3F">
      <w:pPr>
        <w:pStyle w:val="SuperHeading"/>
      </w:pPr>
      <w:r w:rsidRPr="00901A3F">
        <w:t>DEFINT015 Locate electromagnetic emissions</w:t>
      </w:r>
    </w:p>
    <w:p w:rsidR="00000000" w:rsidRPr="00901A3F" w:rsidP="00901A3F">
      <w:pPr>
        <w:pStyle w:val="Heading1"/>
      </w:pPr>
      <w:bookmarkStart w:id="1" w:name="O_958097"/>
      <w:bookmarkEnd w:id="1"/>
      <w:r w:rsidRPr="00901A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Release 1. This is the first release of this unit of competency in the DEF Defence Training Package.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2" w:name="O_958098"/>
      <w:bookmarkEnd w:id="2"/>
      <w:r w:rsidRPr="00901A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 xml:space="preserve">This unit specifies the skills and knowledge required to establish the direction from which a received </w:t>
            </w:r>
            <w:r w:rsidRPr="00901A3F">
              <w:t>emission was transmitted (‘direction finding’) from the clandestine or overt interception of a transmitted electromagnetic emission (‘intercept’). This unit also covers the production and reporting of a triangulated emission point-of-origin assessment.</w:t>
            </w:r>
          </w:p>
          <w:p w:rsidR="00000000" w:rsidRPr="00901A3F" w:rsidP="00901A3F">
            <w:pPr>
              <w:pStyle w:val="BodyText"/>
            </w:pPr>
            <w:r w:rsidRPr="00901A3F">
              <w:t xml:space="preserve">It </w:t>
            </w:r>
            <w:r w:rsidRPr="00901A3F">
              <w:t>includes preparing for direction finding activities, and intercepting and locating an electromagnetic emission. It also includes reporting a triangulated emission point-of-origin assessment.</w:t>
            </w:r>
          </w:p>
          <w:p w:rsidR="00000000" w:rsidRPr="00901A3F" w:rsidP="00901A3F">
            <w:pPr>
              <w:pStyle w:val="BodyText"/>
            </w:pPr>
            <w:r w:rsidRPr="00901A3F">
              <w:t>This unit applies to Defence personnel working in electronic warf</w:t>
            </w:r>
            <w:r w:rsidRPr="00901A3F">
              <w:t>are and signals intelligence fields but may be applicable to any persons working in a similar role.</w:t>
            </w:r>
          </w:p>
          <w:p w:rsidR="00000000" w:rsidRPr="00901A3F" w:rsidP="00901A3F">
            <w:pPr>
              <w:pStyle w:val="BodyText"/>
            </w:pPr>
            <w:r w:rsidRPr="00901A3F">
              <w:t>The skills and knowledge described in this unit must be applied within the legislative, regulatory and policy environment in which they are carried out. Org</w:t>
            </w:r>
            <w:r w:rsidRPr="00901A3F">
              <w:t>anisational policies and procedures must be consulted and adhered to.</w:t>
            </w:r>
          </w:p>
          <w:p w:rsidR="00000000" w:rsidRPr="00901A3F" w:rsidP="00901A3F">
            <w:pPr>
              <w:pStyle w:val="BodyText"/>
            </w:pPr>
            <w:r w:rsidRPr="00901A3F">
              <w:t>Typically, persons undertaking this unit work independently with indirect supervision, and undertake complex tasks within familiar and unfamiliar contexts.</w:t>
            </w:r>
          </w:p>
          <w:p w:rsidR="00000000" w:rsidRPr="00901A3F" w:rsidP="00901A3F">
            <w:pPr>
              <w:pStyle w:val="BodyText"/>
            </w:pPr>
            <w:r w:rsidRPr="00901A3F">
              <w:t>No licensing, legislative or c</w:t>
            </w:r>
            <w:r w:rsidRPr="00901A3F">
              <w:t>ertification requirements apply to this unit at the time of publication.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3" w:name="O_958099"/>
      <w:bookmarkEnd w:id="3"/>
      <w:r w:rsidRPr="00901A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Not applicable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4" w:name="O_958100"/>
      <w:bookmarkEnd w:id="4"/>
      <w:r w:rsidRPr="00901A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Intelligence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5" w:name="O_958101"/>
      <w:bookmarkEnd w:id="5"/>
      <w:r w:rsidRPr="00901A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Not applicable.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6" w:name="O_958102"/>
      <w:bookmarkEnd w:id="6"/>
      <w:r w:rsidRPr="00901A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PERFORMANCE CRITERIA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Performance criteria describe the performance needed to demonstrate achievement of the element.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Prepare for direction finding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Develop a direction finding task plan, detailing key tasks and timelines in accordance with organisational procedures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Prepare direction finding equipment considering task requirements and duration in accordance with manufacturer specifications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Obtain and clarify tasks and orders, as required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Undertake engagement with all identified stakeholders, in accordance with task requirements and operational procedures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Intercept electromagnetic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Operate direction finding equipment</w:t>
            </w:r>
            <w:r w:rsidRPr="00901A3F">
              <w:t xml:space="preserve"> in accordance with manufacturer specifications and organisational procedures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Intercept target electromagnetic emission in accordance with direction finding task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Confirm identity of target electromagnetic emission in accordance with organisational procedures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Identify relevant legal requirements and apply during interception activities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rPr>
                <w:rStyle w:val="SpecialBold"/>
              </w:rPr>
              <w:t>Locate electromagnetic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Determine a line of bearing to targ</w:t>
            </w:r>
            <w:r w:rsidRPr="00901A3F">
              <w:t>et emission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Recognise and apply methods to improve accuracy of direction finding measurements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Validate electromagnetic emission and report direction finding measurement in accordance with organisational procedures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Apply directio</w:t>
            </w:r>
            <w:r w:rsidRPr="00901A3F">
              <w:t>n finding processes to multiple direction finding sites to meet task requirements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t>Determine a best point estimate of electromagnetic emission point of origin, using lines of bearing communicated from multiple sensors</w:t>
            </w:r>
          </w:p>
        </w:tc>
      </w:tr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A3F">
            <w:pPr>
              <w:pStyle w:val="BodyText"/>
              <w:rPr>
                <w:lang w:val="en-NZ"/>
              </w:rPr>
            </w:pPr>
            <w:r w:rsidRPr="00901A3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Document and report elect</w:t>
            </w:r>
            <w:r w:rsidRPr="00901A3F">
              <w:t xml:space="preserve">romagnetic direction finding outcomes to relevant personnel in accordance with </w:t>
            </w:r>
            <w:r w:rsidRPr="00901A3F">
              <w:t>organisational procedures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7" w:name="O_958103"/>
      <w:bookmarkEnd w:id="7"/>
      <w:r w:rsidRPr="00901A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Foundation skills essential to performance are explicit in the performance criteria of this unit of competency.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8" w:name="O_958104"/>
      <w:bookmarkEnd w:id="8"/>
      <w:r w:rsidRPr="00901A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Range is restricted to essential operating conditions and any other variables essential to the work environment.</w:t>
            </w:r>
          </w:p>
          <w:p w:rsidR="00000000" w:rsidRPr="00901A3F" w:rsidP="00901A3F">
            <w:pPr>
              <w:pStyle w:val="BodyText"/>
            </w:pPr>
            <w:r w:rsidRPr="00901A3F">
              <w:t>Non-essential conditions may be found in the Companion Volume Implementation Guide.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9" w:name="O_958105"/>
      <w:bookmarkEnd w:id="9"/>
      <w:r w:rsidRPr="00901A3F">
        <w:t>Uni</w:t>
      </w:r>
      <w:r w:rsidRPr="00901A3F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A3F" w:rsidP="00901A3F">
            <w:pPr>
              <w:pStyle w:val="BodyText"/>
            </w:pPr>
            <w:r w:rsidRPr="00901A3F">
              <w:t>This unit replaces and is equivalent to DEFIN015 Locate electromagnetic emissions.</w:t>
            </w:r>
          </w:p>
        </w:tc>
      </w:tr>
    </w:tbl>
    <w:p w:rsidR="00000000" w:rsidRPr="00901A3F" w:rsidP="00901A3F">
      <w:pPr>
        <w:pStyle w:val="NoPaddingFontSize1"/>
      </w:pPr>
    </w:p>
    <w:p w:rsidR="00000000" w:rsidRPr="00901A3F" w:rsidP="00901A3F">
      <w:pPr>
        <w:pStyle w:val="AllowPageBreak"/>
      </w:pPr>
    </w:p>
    <w:p w:rsidR="00000000" w:rsidRPr="00901A3F" w:rsidP="00901A3F">
      <w:pPr>
        <w:pStyle w:val="Heading1"/>
      </w:pPr>
      <w:bookmarkStart w:id="10" w:name="O_958112"/>
      <w:bookmarkEnd w:id="10"/>
      <w:r w:rsidRPr="00901A3F">
        <w:t>Links</w:t>
      </w:r>
    </w:p>
    <w:p w:rsidR="00000000" w:rsidRPr="00901A3F" w:rsidP="00762008">
      <w:pPr>
        <w:pStyle w:val="BodyText"/>
      </w:pPr>
      <w:r w:rsidRPr="00901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13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01A3F" w:rsidP="00901A3F"/>
    <w:sectPr w:rsidSect="00901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3F" w:rsidRPr="00762008" w:rsidP="00762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08" w:rsidP="00901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008" w:rsidP="00901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62008" w:rsidP="00901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A3F" w:rsidRPr="00762008" w:rsidP="00762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08" w:rsidRPr="002D2AF8" w:rsidP="00901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DEFINT015 Locate electromagnetic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62008" w:rsidP="00901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A3F"/>
  </w:style>
  <w:style w:type="character" w:customStyle="1" w:styleId="Heading1Char">
    <w:name w:val="Heading 1 Char"/>
    <w:basedOn w:val="DefaultParagraphFont"/>
    <w:link w:val="Heading1"/>
    <w:rsid w:val="00901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A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1A3F"/>
    <w:rPr>
      <w:b/>
      <w:spacing w:val="0"/>
    </w:rPr>
  </w:style>
  <w:style w:type="paragraph" w:customStyle="1" w:styleId="SuperHeading">
    <w:name w:val="SuperHeading"/>
    <w:basedOn w:val="Normal"/>
    <w:rsid w:val="00901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1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A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1A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1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A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A3F"/>
    <w:rPr>
      <w:i/>
    </w:rPr>
  </w:style>
  <w:style w:type="paragraph" w:styleId="Caption">
    <w:name w:val="caption"/>
    <w:basedOn w:val="BodyText"/>
    <w:next w:val="Normal"/>
    <w:qFormat/>
    <w:rsid w:val="00901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A3F"/>
  </w:style>
  <w:style w:type="paragraph" w:styleId="TableofFigures">
    <w:name w:val="table of figures"/>
    <w:basedOn w:val="Normal"/>
    <w:next w:val="Normal"/>
    <w:semiHidden/>
    <w:rsid w:val="00901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A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1A3F"/>
    <w:rPr>
      <w:rFonts w:ascii="Wingdings" w:hAnsi="Wingdings"/>
    </w:rPr>
  </w:style>
  <w:style w:type="paragraph" w:customStyle="1" w:styleId="TableHeading">
    <w:name w:val="Table Heading"/>
    <w:basedOn w:val="HeadingBase"/>
    <w:rsid w:val="00901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A3F"/>
    <w:rPr>
      <w:color w:val="0033CC"/>
      <w:u w:val="none"/>
    </w:rPr>
  </w:style>
  <w:style w:type="paragraph" w:customStyle="1" w:styleId="BodyTextRight">
    <w:name w:val="Body Text Right"/>
    <w:basedOn w:val="BodyText"/>
    <w:rsid w:val="00901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A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A3F"/>
    <w:rPr>
      <w:sz w:val="32"/>
    </w:rPr>
  </w:style>
  <w:style w:type="paragraph" w:customStyle="1" w:styleId="HeadingProcedure">
    <w:name w:val="Heading Procedure"/>
    <w:basedOn w:val="HeadingBase"/>
    <w:next w:val="Normal"/>
    <w:rsid w:val="00901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A3F"/>
    <w:pPr>
      <w:spacing w:before="60" w:after="60"/>
    </w:pPr>
  </w:style>
  <w:style w:type="paragraph" w:styleId="ListContinue">
    <w:name w:val="List Continue"/>
    <w:basedOn w:val="List"/>
    <w:rsid w:val="00901A3F"/>
    <w:pPr>
      <w:ind w:firstLine="0"/>
    </w:pPr>
  </w:style>
  <w:style w:type="paragraph" w:customStyle="1" w:styleId="ListNote">
    <w:name w:val="List Note"/>
    <w:basedOn w:val="List"/>
    <w:rsid w:val="00901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A3F"/>
    <w:rPr>
      <w:rFonts w:ascii="Courier New" w:hAnsi="Courier New"/>
    </w:rPr>
  </w:style>
  <w:style w:type="paragraph" w:customStyle="1" w:styleId="NoteBullet">
    <w:name w:val="Note Bullet"/>
    <w:basedOn w:val="Note"/>
    <w:rsid w:val="00901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A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1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A3F"/>
    <w:rPr>
      <w:b/>
      <w:smallCaps/>
    </w:rPr>
  </w:style>
  <w:style w:type="paragraph" w:customStyle="1" w:styleId="TableListNumber">
    <w:name w:val="Table List Number"/>
    <w:basedOn w:val="ListNumber"/>
    <w:rsid w:val="00901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A3F"/>
    <w:pPr>
      <w:numPr>
        <w:numId w:val="7"/>
      </w:numPr>
    </w:pPr>
  </w:style>
  <w:style w:type="paragraph" w:customStyle="1" w:styleId="ListAlpha2">
    <w:name w:val="List Alpha 2"/>
    <w:basedOn w:val="List2"/>
    <w:rsid w:val="00901A3F"/>
    <w:pPr>
      <w:numPr>
        <w:numId w:val="6"/>
      </w:numPr>
    </w:pPr>
  </w:style>
  <w:style w:type="paragraph" w:styleId="List2">
    <w:name w:val="List 2"/>
    <w:basedOn w:val="BodyText"/>
    <w:rsid w:val="00901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A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A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1A3F"/>
    <w:pPr>
      <w:numPr>
        <w:numId w:val="2"/>
      </w:numPr>
    </w:pPr>
  </w:style>
  <w:style w:type="paragraph" w:styleId="ListContinue2">
    <w:name w:val="List Continue 2"/>
    <w:basedOn w:val="List2"/>
    <w:rsid w:val="00901A3F"/>
    <w:pPr>
      <w:ind w:firstLine="0"/>
    </w:pPr>
  </w:style>
  <w:style w:type="paragraph" w:styleId="ListContinue3">
    <w:name w:val="List Continue 3"/>
    <w:basedOn w:val="List3"/>
    <w:rsid w:val="00901A3F"/>
    <w:pPr>
      <w:ind w:left="1021" w:firstLine="0"/>
    </w:pPr>
  </w:style>
  <w:style w:type="paragraph" w:styleId="ListContinue4">
    <w:name w:val="List Continue 4"/>
    <w:basedOn w:val="List4"/>
    <w:rsid w:val="00901A3F"/>
    <w:pPr>
      <w:ind w:firstLine="0"/>
    </w:pPr>
  </w:style>
  <w:style w:type="paragraph" w:styleId="ListContinue5">
    <w:name w:val="List Continue 5"/>
    <w:basedOn w:val="List5"/>
    <w:rsid w:val="00901A3F"/>
    <w:pPr>
      <w:ind w:firstLine="0"/>
    </w:pPr>
  </w:style>
  <w:style w:type="paragraph" w:styleId="ListNumber3">
    <w:name w:val="List Number 3"/>
    <w:basedOn w:val="List3"/>
    <w:rsid w:val="00901A3F"/>
    <w:pPr>
      <w:numPr>
        <w:numId w:val="3"/>
      </w:numPr>
    </w:pPr>
  </w:style>
  <w:style w:type="paragraph" w:styleId="ListNumber4">
    <w:name w:val="List Number 4"/>
    <w:basedOn w:val="List4"/>
    <w:rsid w:val="00901A3F"/>
    <w:pPr>
      <w:numPr>
        <w:numId w:val="4"/>
      </w:numPr>
    </w:pPr>
  </w:style>
  <w:style w:type="paragraph" w:styleId="ListNumber5">
    <w:name w:val="List Number 5"/>
    <w:basedOn w:val="List5"/>
    <w:rsid w:val="00901A3F"/>
    <w:pPr>
      <w:numPr>
        <w:numId w:val="5"/>
      </w:numPr>
    </w:pPr>
  </w:style>
  <w:style w:type="paragraph" w:styleId="BlockText">
    <w:name w:val="Block Text"/>
    <w:basedOn w:val="Normal"/>
    <w:rsid w:val="00901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A3F"/>
    <w:rPr>
      <w:sz w:val="16"/>
      <w:vertAlign w:val="superscript"/>
    </w:rPr>
  </w:style>
  <w:style w:type="character" w:customStyle="1" w:styleId="Symbols">
    <w:name w:val="Symbols"/>
    <w:basedOn w:val="DefaultParagraphFont"/>
    <w:rsid w:val="00901A3F"/>
    <w:rPr>
      <w:rFonts w:ascii="Symbol" w:hAnsi="Symbol"/>
    </w:rPr>
  </w:style>
  <w:style w:type="character" w:customStyle="1" w:styleId="MenuOptions">
    <w:name w:val="Menu Options"/>
    <w:basedOn w:val="DefaultParagraphFont"/>
    <w:rsid w:val="00901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A3F"/>
    <w:rPr>
      <w:b/>
    </w:rPr>
  </w:style>
  <w:style w:type="character" w:customStyle="1" w:styleId="Underlined">
    <w:name w:val="Underlined"/>
    <w:basedOn w:val="DefaultParagraphFont"/>
    <w:rsid w:val="00901A3F"/>
    <w:rPr>
      <w:u w:val="single"/>
    </w:rPr>
  </w:style>
  <w:style w:type="paragraph" w:customStyle="1" w:styleId="TableBodyTextRight">
    <w:name w:val="Table Body Text Right"/>
    <w:basedOn w:val="TableBodyText"/>
    <w:rsid w:val="00901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A3F"/>
    <w:rPr>
      <w:sz w:val="18"/>
    </w:rPr>
  </w:style>
  <w:style w:type="paragraph" w:customStyle="1" w:styleId="BodySmallRight">
    <w:name w:val="Body Small Right"/>
    <w:basedOn w:val="BodyTextRight"/>
    <w:rsid w:val="00901A3F"/>
    <w:rPr>
      <w:sz w:val="18"/>
      <w:szCs w:val="18"/>
    </w:rPr>
  </w:style>
  <w:style w:type="paragraph" w:customStyle="1" w:styleId="MarginEdition">
    <w:name w:val="Margin Edition"/>
    <w:basedOn w:val="MarginNote"/>
    <w:rsid w:val="00901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A3F"/>
    <w:rPr>
      <w:sz w:val="2"/>
      <w:szCs w:val="2"/>
    </w:rPr>
  </w:style>
  <w:style w:type="character" w:customStyle="1" w:styleId="Small">
    <w:name w:val="Small"/>
    <w:basedOn w:val="DefaultParagraphFont"/>
    <w:rsid w:val="00901A3F"/>
    <w:rPr>
      <w:sz w:val="16"/>
    </w:rPr>
  </w:style>
  <w:style w:type="paragraph" w:customStyle="1" w:styleId="WideTable">
    <w:name w:val="Wide Table"/>
    <w:basedOn w:val="Normal"/>
    <w:rsid w:val="00901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A3F"/>
  </w:style>
  <w:style w:type="paragraph" w:styleId="Quote">
    <w:name w:val="Quote"/>
    <w:basedOn w:val="Heading1"/>
    <w:link w:val="QuoteChar"/>
    <w:qFormat/>
    <w:rsid w:val="00901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A3F"/>
    <w:pPr>
      <w:pageBreakBefore/>
    </w:pPr>
  </w:style>
  <w:style w:type="paragraph" w:customStyle="1" w:styleId="Border">
    <w:name w:val="Border"/>
    <w:basedOn w:val="Normal"/>
    <w:qFormat/>
    <w:rsid w:val="00901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A3F"/>
    <w:rPr>
      <w:u w:val="single"/>
    </w:rPr>
  </w:style>
  <w:style w:type="character" w:customStyle="1" w:styleId="BoldandItalics">
    <w:name w:val="Bold and Italics"/>
    <w:qFormat/>
    <w:rsid w:val="00901A3F"/>
    <w:rPr>
      <w:b/>
      <w:i/>
      <w:u w:val="none"/>
    </w:rPr>
  </w:style>
  <w:style w:type="paragraph" w:styleId="BalloonText">
    <w:name w:val="Balloon Text"/>
    <w:basedOn w:val="Normal"/>
    <w:link w:val="BalloonTextChar"/>
    <w:rsid w:val="0090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A3F"/>
    <w:pPr>
      <w:spacing w:before="0" w:after="0"/>
    </w:pPr>
  </w:style>
  <w:style w:type="paragraph" w:customStyle="1" w:styleId="BodyTextBold">
    <w:name w:val="Body Text Bold"/>
    <w:basedOn w:val="BodyText"/>
    <w:qFormat/>
    <w:rsid w:val="00901A3F"/>
    <w:rPr>
      <w:b/>
    </w:rPr>
  </w:style>
  <w:style w:type="character" w:styleId="Hyperlink">
    <w:name w:val="Hyperlink"/>
    <w:basedOn w:val="DefaultParagraphFont"/>
    <w:uiPriority w:val="99"/>
    <w:unhideWhenUsed/>
    <w:rsid w:val="00762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3598</Characters>
  <Application>Microsoft Office Word</Application>
  <DocSecurity>0</DocSecurity>
  <Lines>156</Lines>
  <Paragraphs>79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DEFINT015 Locate electromagnetic emissions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