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F69" w:rsidP="00357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DEFGEN313 Establish technical data and information management systems</w:t>
      </w:r>
      <w:r>
        <w:fldChar w:fldCharType="end"/>
      </w:r>
    </w:p>
    <w:p w:rsidR="00357F69" w:rsidP="00357F69">
      <w:pPr>
        <w:pStyle w:val="Version"/>
        <w:sectPr w:rsidSect="00022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31A" w:rsidP="0002231A">
      <w:pPr>
        <w:pStyle w:val="SuperHeading"/>
      </w:pPr>
      <w:r w:rsidRPr="0002231A">
        <w:t>DEFGEN313 Establish technical data and information management systems</w:t>
      </w:r>
    </w:p>
    <w:p w:rsidR="00000000" w:rsidRPr="0002231A" w:rsidP="0002231A">
      <w:pPr>
        <w:pStyle w:val="Heading1"/>
      </w:pPr>
      <w:bookmarkStart w:id="1" w:name="O_958021"/>
      <w:bookmarkEnd w:id="1"/>
      <w:r w:rsidRPr="000223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Release 1. This is the first release of this unit of competency in the DEF Defence Training Package.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2" w:name="O_958022"/>
      <w:bookmarkEnd w:id="2"/>
      <w:r w:rsidRPr="000223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This unit specifies the skills and knowledge required to establish the technical data and information management systems framework for a particular organisational context or environment in which specific technical data and information are created, used and</w:t>
            </w:r>
            <w:r w:rsidRPr="0002231A">
              <w:t xml:space="preserve"> maintained.</w:t>
            </w:r>
          </w:p>
          <w:p w:rsidR="00000000" w:rsidRPr="0002231A" w:rsidP="0002231A">
            <w:pPr>
              <w:pStyle w:val="BodyText"/>
            </w:pPr>
            <w:r w:rsidRPr="0002231A">
              <w:t>It includes identifying technical context of the organisation to establish technical creator’s accountability requirements and developing a management system framework. It also includes identifying and responding to contextual changes over a s</w:t>
            </w:r>
            <w:r w:rsidRPr="0002231A">
              <w:t>ystem project life cycle.</w:t>
            </w:r>
          </w:p>
          <w:p w:rsidR="00000000" w:rsidRPr="0002231A" w:rsidP="0002231A">
            <w:pPr>
              <w:pStyle w:val="BodyText"/>
            </w:pPr>
            <w:r w:rsidRPr="0002231A">
              <w:t>This unit applies to technical regulatory framework specialists working in Defence materiel logistics but is applicable to any individual in this field of work.</w:t>
            </w:r>
          </w:p>
          <w:p w:rsidR="00000000" w:rsidRPr="0002231A" w:rsidP="0002231A">
            <w:pPr>
              <w:pStyle w:val="BodyText"/>
            </w:pPr>
            <w:r w:rsidRPr="0002231A">
              <w:t>The skills and knowledge described in this unit must be applied withi</w:t>
            </w:r>
            <w:r w:rsidRPr="0002231A">
              <w:t>n the legislative, regulatory and policy environment in which they are carried out. Organisational policies and procedures must be consulted and adhered to.</w:t>
            </w:r>
          </w:p>
          <w:p w:rsidR="00000000" w:rsidRPr="0002231A" w:rsidP="0002231A">
            <w:pPr>
              <w:pStyle w:val="BodyText"/>
            </w:pPr>
            <w:r w:rsidRPr="0002231A">
              <w:t>Typically, persons undertaking this unit work independently or as part of a team under direct and/o</w:t>
            </w:r>
            <w:r w:rsidRPr="0002231A">
              <w:t>r indirect supervision, use discretion and judgement, and take responsibility for the quality of their outputs.</w:t>
            </w:r>
          </w:p>
          <w:p w:rsidR="00000000" w:rsidRPr="0002231A" w:rsidP="0002231A">
            <w:pPr>
              <w:pStyle w:val="BodyText"/>
            </w:pPr>
            <w:r w:rsidRPr="0002231A">
              <w:t>No licensing, legislative or certification requirements apply to this unit at the time of publication.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3" w:name="O_958023"/>
      <w:bookmarkEnd w:id="3"/>
      <w:r w:rsidRPr="000223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Not</w:t>
            </w:r>
            <w:r w:rsidRPr="0002231A">
              <w:t xml:space="preserve"> applicable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4" w:name="O_958024"/>
      <w:bookmarkEnd w:id="4"/>
      <w:r w:rsidRPr="000223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General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5" w:name="O_958025"/>
      <w:bookmarkEnd w:id="5"/>
      <w:r w:rsidRPr="000223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Not applicable.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6" w:name="O_958026"/>
      <w:bookmarkEnd w:id="6"/>
      <w:r w:rsidRPr="0002231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PERFORMANCE CRITERIA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Performance criteria describe the performance needed to demonstrate achievement of the element.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Identify technical context of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Determine and document technical context, nature of the jurisdiction and nature of the organisation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1</w:t>
            </w:r>
            <w:r w:rsidRPr="0002231A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Identify and interpret technical regulatory framework specific to the organisation and clarify, as required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Establish technical creator’s accountability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Identify the creator of technical data and information by determining all par</w:t>
            </w:r>
            <w:r w:rsidRPr="0002231A">
              <w:t>ts of the organisation that create technical data and information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Determine and document accountability requirements and functional responsibilities of the creators of technical data and information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Verify sources used in research as authenti</w:t>
            </w:r>
            <w:r w:rsidRPr="0002231A">
              <w:t>c and document in accordance with organisational procedures and relevant industry standards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Develop management system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Develop a management system framework from a review and synthesis of individual technical creator requirements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Trial proposed system framework to ensure functionality, maintainability and growth potential, and make adjustments as required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Document system framework, its protocols and guidelines to ensure consistency of application by users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rPr>
                <w:rStyle w:val="SpecialBold"/>
              </w:rPr>
              <w:t>Identify and res</w:t>
            </w:r>
            <w:r w:rsidRPr="0002231A">
              <w:rPr>
                <w:rStyle w:val="SpecialBold"/>
              </w:rPr>
              <w:t>pond to contextual changes over time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Map system functions generating technical data and information and the technical framework governing them, to organisational structures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Identify and document changes to the administrative and system functional context over time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t>Analyse and respond to the effects of changes on technical data and information management system structures</w:t>
            </w:r>
          </w:p>
        </w:tc>
      </w:tr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31A">
            <w:pPr>
              <w:pStyle w:val="BodyText"/>
              <w:rPr>
                <w:lang w:val="en-NZ"/>
              </w:rPr>
            </w:pPr>
            <w:r w:rsidRPr="0002231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 xml:space="preserve">Review and update documentation taking identified changes into consideration in accordance with organisational procedures and relevant industry </w:t>
            </w:r>
            <w:r w:rsidRPr="0002231A">
              <w:t>standards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7" w:name="O_958027"/>
      <w:bookmarkEnd w:id="7"/>
      <w:r w:rsidRPr="000223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Foundation skills essential to performance are explicit in the pe</w:t>
            </w:r>
            <w:r w:rsidRPr="0002231A">
              <w:t>rformance criteria of this unit of competency.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8" w:name="O_958028"/>
      <w:bookmarkEnd w:id="8"/>
      <w:r w:rsidRPr="000223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Range is restricted to essential operating conditions and any other variables essential to the work environment.</w:t>
            </w:r>
          </w:p>
          <w:p w:rsidR="00000000" w:rsidRPr="0002231A" w:rsidP="0002231A">
            <w:pPr>
              <w:pStyle w:val="BodyText"/>
            </w:pPr>
            <w:r w:rsidRPr="0002231A">
              <w:t>Non-essential conditions may be found in the Companion Vo</w:t>
            </w:r>
            <w:r w:rsidRPr="0002231A">
              <w:t>lume Implementation Guide.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9" w:name="O_958029"/>
      <w:bookmarkEnd w:id="9"/>
      <w:r w:rsidRPr="000223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3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31A" w:rsidP="0002231A">
            <w:pPr>
              <w:pStyle w:val="BodyText"/>
            </w:pPr>
            <w:r w:rsidRPr="0002231A">
              <w:t>This unit replaces and is equivalent to DEFCM313A Establish technical data and information management systems.</w:t>
            </w:r>
          </w:p>
        </w:tc>
      </w:tr>
    </w:tbl>
    <w:p w:rsidR="00000000" w:rsidRPr="0002231A" w:rsidP="0002231A">
      <w:pPr>
        <w:pStyle w:val="NoPaddingFontSize1"/>
      </w:pPr>
    </w:p>
    <w:p w:rsidR="00000000" w:rsidRPr="0002231A" w:rsidP="0002231A">
      <w:pPr>
        <w:pStyle w:val="AllowPageBreak"/>
      </w:pPr>
    </w:p>
    <w:p w:rsidR="00000000" w:rsidRPr="0002231A" w:rsidP="0002231A">
      <w:pPr>
        <w:pStyle w:val="Heading1"/>
      </w:pPr>
      <w:bookmarkStart w:id="10" w:name="O_958036"/>
      <w:bookmarkEnd w:id="10"/>
      <w:r w:rsidRPr="0002231A">
        <w:t>Links</w:t>
      </w:r>
    </w:p>
    <w:p w:rsidR="00000000" w:rsidRPr="0002231A" w:rsidP="00357F69">
      <w:pPr>
        <w:pStyle w:val="BodyText"/>
      </w:pPr>
      <w:r w:rsidRPr="00022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47D7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2231A" w:rsidP="0002231A"/>
    <w:sectPr w:rsidSect="00022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31A" w:rsidRPr="00357F69" w:rsidP="00357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69" w:rsidP="00022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F69" w:rsidP="00022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57F69" w:rsidP="00022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31A" w:rsidRPr="00357F69" w:rsidP="00357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69" w:rsidRPr="002D2AF8" w:rsidP="00022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DEFGEN313 Establish technical data and information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57F69" w:rsidP="00022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31A"/>
  </w:style>
  <w:style w:type="character" w:customStyle="1" w:styleId="Heading1Char">
    <w:name w:val="Heading 1 Char"/>
    <w:basedOn w:val="DefaultParagraphFont"/>
    <w:link w:val="Heading1"/>
    <w:rsid w:val="00022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3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231A"/>
    <w:rPr>
      <w:b/>
      <w:spacing w:val="0"/>
    </w:rPr>
  </w:style>
  <w:style w:type="paragraph" w:customStyle="1" w:styleId="SuperHeading">
    <w:name w:val="SuperHeading"/>
    <w:basedOn w:val="Normal"/>
    <w:rsid w:val="00022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2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3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23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2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3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31A"/>
    <w:rPr>
      <w:i/>
    </w:rPr>
  </w:style>
  <w:style w:type="paragraph" w:styleId="Caption">
    <w:name w:val="caption"/>
    <w:basedOn w:val="BodyText"/>
    <w:next w:val="Normal"/>
    <w:qFormat/>
    <w:rsid w:val="00022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31A"/>
  </w:style>
  <w:style w:type="paragraph" w:styleId="TableofFigures">
    <w:name w:val="table of figures"/>
    <w:basedOn w:val="Normal"/>
    <w:next w:val="Normal"/>
    <w:semiHidden/>
    <w:rsid w:val="00022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3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231A"/>
    <w:rPr>
      <w:rFonts w:ascii="Wingdings" w:hAnsi="Wingdings"/>
    </w:rPr>
  </w:style>
  <w:style w:type="paragraph" w:customStyle="1" w:styleId="TableHeading">
    <w:name w:val="Table Heading"/>
    <w:basedOn w:val="HeadingBase"/>
    <w:rsid w:val="00022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31A"/>
    <w:rPr>
      <w:color w:val="0033CC"/>
      <w:u w:val="none"/>
    </w:rPr>
  </w:style>
  <w:style w:type="paragraph" w:customStyle="1" w:styleId="BodyTextRight">
    <w:name w:val="Body Text Right"/>
    <w:basedOn w:val="BodyText"/>
    <w:rsid w:val="00022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3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31A"/>
    <w:rPr>
      <w:sz w:val="32"/>
    </w:rPr>
  </w:style>
  <w:style w:type="paragraph" w:customStyle="1" w:styleId="HeadingProcedure">
    <w:name w:val="Heading Procedure"/>
    <w:basedOn w:val="HeadingBase"/>
    <w:next w:val="Normal"/>
    <w:rsid w:val="00022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31A"/>
    <w:pPr>
      <w:spacing w:before="60" w:after="60"/>
    </w:pPr>
  </w:style>
  <w:style w:type="paragraph" w:styleId="ListContinue">
    <w:name w:val="List Continue"/>
    <w:basedOn w:val="List"/>
    <w:rsid w:val="0002231A"/>
    <w:pPr>
      <w:ind w:firstLine="0"/>
    </w:pPr>
  </w:style>
  <w:style w:type="paragraph" w:customStyle="1" w:styleId="ListNote">
    <w:name w:val="List Note"/>
    <w:basedOn w:val="List"/>
    <w:rsid w:val="00022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31A"/>
    <w:rPr>
      <w:rFonts w:ascii="Courier New" w:hAnsi="Courier New"/>
    </w:rPr>
  </w:style>
  <w:style w:type="paragraph" w:customStyle="1" w:styleId="NoteBullet">
    <w:name w:val="Note Bullet"/>
    <w:basedOn w:val="Note"/>
    <w:rsid w:val="00022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3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2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31A"/>
    <w:rPr>
      <w:b/>
      <w:smallCaps/>
    </w:rPr>
  </w:style>
  <w:style w:type="paragraph" w:customStyle="1" w:styleId="TableListNumber">
    <w:name w:val="Table List Number"/>
    <w:basedOn w:val="ListNumber"/>
    <w:rsid w:val="00022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31A"/>
    <w:pPr>
      <w:numPr>
        <w:numId w:val="7"/>
      </w:numPr>
    </w:pPr>
  </w:style>
  <w:style w:type="paragraph" w:customStyle="1" w:styleId="ListAlpha2">
    <w:name w:val="List Alpha 2"/>
    <w:basedOn w:val="List2"/>
    <w:rsid w:val="0002231A"/>
    <w:pPr>
      <w:numPr>
        <w:numId w:val="6"/>
      </w:numPr>
    </w:pPr>
  </w:style>
  <w:style w:type="paragraph" w:styleId="List2">
    <w:name w:val="List 2"/>
    <w:basedOn w:val="BodyText"/>
    <w:rsid w:val="00022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3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3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231A"/>
    <w:pPr>
      <w:numPr>
        <w:numId w:val="2"/>
      </w:numPr>
    </w:pPr>
  </w:style>
  <w:style w:type="paragraph" w:styleId="ListContinue2">
    <w:name w:val="List Continue 2"/>
    <w:basedOn w:val="List2"/>
    <w:rsid w:val="0002231A"/>
    <w:pPr>
      <w:ind w:firstLine="0"/>
    </w:pPr>
  </w:style>
  <w:style w:type="paragraph" w:styleId="ListContinue3">
    <w:name w:val="List Continue 3"/>
    <w:basedOn w:val="List3"/>
    <w:rsid w:val="0002231A"/>
    <w:pPr>
      <w:ind w:left="1021" w:firstLine="0"/>
    </w:pPr>
  </w:style>
  <w:style w:type="paragraph" w:styleId="ListContinue4">
    <w:name w:val="List Continue 4"/>
    <w:basedOn w:val="List4"/>
    <w:rsid w:val="0002231A"/>
    <w:pPr>
      <w:ind w:firstLine="0"/>
    </w:pPr>
  </w:style>
  <w:style w:type="paragraph" w:styleId="ListContinue5">
    <w:name w:val="List Continue 5"/>
    <w:basedOn w:val="List5"/>
    <w:rsid w:val="0002231A"/>
    <w:pPr>
      <w:ind w:firstLine="0"/>
    </w:pPr>
  </w:style>
  <w:style w:type="paragraph" w:styleId="ListNumber3">
    <w:name w:val="List Number 3"/>
    <w:basedOn w:val="List3"/>
    <w:rsid w:val="0002231A"/>
    <w:pPr>
      <w:numPr>
        <w:numId w:val="3"/>
      </w:numPr>
    </w:pPr>
  </w:style>
  <w:style w:type="paragraph" w:styleId="ListNumber4">
    <w:name w:val="List Number 4"/>
    <w:basedOn w:val="List4"/>
    <w:rsid w:val="0002231A"/>
    <w:pPr>
      <w:numPr>
        <w:numId w:val="4"/>
      </w:numPr>
    </w:pPr>
  </w:style>
  <w:style w:type="paragraph" w:styleId="ListNumber5">
    <w:name w:val="List Number 5"/>
    <w:basedOn w:val="List5"/>
    <w:rsid w:val="0002231A"/>
    <w:pPr>
      <w:numPr>
        <w:numId w:val="5"/>
      </w:numPr>
    </w:pPr>
  </w:style>
  <w:style w:type="paragraph" w:styleId="BlockText">
    <w:name w:val="Block Text"/>
    <w:basedOn w:val="Normal"/>
    <w:rsid w:val="00022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31A"/>
    <w:rPr>
      <w:sz w:val="16"/>
      <w:vertAlign w:val="superscript"/>
    </w:rPr>
  </w:style>
  <w:style w:type="character" w:customStyle="1" w:styleId="Symbols">
    <w:name w:val="Symbols"/>
    <w:basedOn w:val="DefaultParagraphFont"/>
    <w:rsid w:val="0002231A"/>
    <w:rPr>
      <w:rFonts w:ascii="Symbol" w:hAnsi="Symbol"/>
    </w:rPr>
  </w:style>
  <w:style w:type="character" w:customStyle="1" w:styleId="MenuOptions">
    <w:name w:val="Menu Options"/>
    <w:basedOn w:val="DefaultParagraphFont"/>
    <w:rsid w:val="00022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31A"/>
    <w:rPr>
      <w:b/>
    </w:rPr>
  </w:style>
  <w:style w:type="character" w:customStyle="1" w:styleId="Underlined">
    <w:name w:val="Underlined"/>
    <w:basedOn w:val="DefaultParagraphFont"/>
    <w:rsid w:val="0002231A"/>
    <w:rPr>
      <w:u w:val="single"/>
    </w:rPr>
  </w:style>
  <w:style w:type="paragraph" w:customStyle="1" w:styleId="TableBodyTextRight">
    <w:name w:val="Table Body Text Right"/>
    <w:basedOn w:val="TableBodyText"/>
    <w:rsid w:val="00022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31A"/>
    <w:rPr>
      <w:sz w:val="18"/>
    </w:rPr>
  </w:style>
  <w:style w:type="paragraph" w:customStyle="1" w:styleId="BodySmallRight">
    <w:name w:val="Body Small Right"/>
    <w:basedOn w:val="BodyTextRight"/>
    <w:rsid w:val="0002231A"/>
    <w:rPr>
      <w:sz w:val="18"/>
      <w:szCs w:val="18"/>
    </w:rPr>
  </w:style>
  <w:style w:type="paragraph" w:customStyle="1" w:styleId="MarginEdition">
    <w:name w:val="Margin Edition"/>
    <w:basedOn w:val="MarginNote"/>
    <w:rsid w:val="00022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31A"/>
    <w:rPr>
      <w:sz w:val="2"/>
      <w:szCs w:val="2"/>
    </w:rPr>
  </w:style>
  <w:style w:type="character" w:customStyle="1" w:styleId="Small">
    <w:name w:val="Small"/>
    <w:basedOn w:val="DefaultParagraphFont"/>
    <w:rsid w:val="0002231A"/>
    <w:rPr>
      <w:sz w:val="16"/>
    </w:rPr>
  </w:style>
  <w:style w:type="paragraph" w:customStyle="1" w:styleId="WideTable">
    <w:name w:val="Wide Table"/>
    <w:basedOn w:val="Normal"/>
    <w:rsid w:val="00022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31A"/>
  </w:style>
  <w:style w:type="paragraph" w:styleId="Quote">
    <w:name w:val="Quote"/>
    <w:basedOn w:val="Heading1"/>
    <w:link w:val="QuoteChar"/>
    <w:qFormat/>
    <w:rsid w:val="00022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31A"/>
    <w:pPr>
      <w:pageBreakBefore/>
    </w:pPr>
  </w:style>
  <w:style w:type="paragraph" w:customStyle="1" w:styleId="Border">
    <w:name w:val="Border"/>
    <w:basedOn w:val="Normal"/>
    <w:qFormat/>
    <w:rsid w:val="00022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31A"/>
    <w:rPr>
      <w:u w:val="single"/>
    </w:rPr>
  </w:style>
  <w:style w:type="character" w:customStyle="1" w:styleId="BoldandItalics">
    <w:name w:val="Bold and Italics"/>
    <w:qFormat/>
    <w:rsid w:val="0002231A"/>
    <w:rPr>
      <w:b/>
      <w:i/>
      <w:u w:val="none"/>
    </w:rPr>
  </w:style>
  <w:style w:type="paragraph" w:styleId="BalloonText">
    <w:name w:val="Balloon Text"/>
    <w:basedOn w:val="Normal"/>
    <w:link w:val="BalloonTextChar"/>
    <w:rsid w:val="0002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31A"/>
    <w:pPr>
      <w:spacing w:before="0" w:after="0"/>
    </w:pPr>
  </w:style>
  <w:style w:type="paragraph" w:customStyle="1" w:styleId="BodyTextBold">
    <w:name w:val="Body Text Bold"/>
    <w:basedOn w:val="BodyText"/>
    <w:qFormat/>
    <w:rsid w:val="0002231A"/>
    <w:rPr>
      <w:b/>
    </w:rPr>
  </w:style>
  <w:style w:type="character" w:styleId="Hyperlink">
    <w:name w:val="Hyperlink"/>
    <w:basedOn w:val="DefaultParagraphFont"/>
    <w:uiPriority w:val="99"/>
    <w:unhideWhenUsed/>
    <w:rsid w:val="00357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3788</Characters>
  <Application>Microsoft Office Word</Application>
  <DocSecurity>0</DocSecurity>
  <Lines>157</Lines>
  <Paragraphs>76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DEFGEN313 Establish technical data and information management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