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055" w:rsidP="00F83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DEFGEN313 Establish technical data and information management systems</w:t>
      </w:r>
      <w:r>
        <w:fldChar w:fldCharType="end"/>
      </w:r>
    </w:p>
    <w:p w:rsidR="00F83055" w:rsidP="00F83055">
      <w:pPr>
        <w:pStyle w:val="Version"/>
        <w:sectPr w:rsidSect="00177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170" w:rsidP="00177170">
      <w:pPr>
        <w:pStyle w:val="SuperHeading"/>
      </w:pPr>
      <w:r w:rsidRPr="00177170">
        <w:t>DEFGEN313 Establish technical data and information management systems</w:t>
      </w:r>
    </w:p>
    <w:p w:rsidR="00000000" w:rsidRPr="00177170" w:rsidP="00177170">
      <w:pPr>
        <w:pStyle w:val="Heading1"/>
      </w:pPr>
      <w:bookmarkStart w:id="1" w:name="O_958021"/>
      <w:bookmarkEnd w:id="1"/>
      <w:r w:rsidRPr="001771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Release 1. This is the first release of this unit of competency in the DEF Defence Training Package.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2" w:name="O_958022"/>
      <w:bookmarkEnd w:id="2"/>
      <w:r w:rsidRPr="001771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This unit specifies the skills and knowledge required to establish the technical data and information management systems framework for a particular organisational context or environment in which specific technical data and information are created, used and</w:t>
            </w:r>
            <w:r w:rsidRPr="00177170">
              <w:t xml:space="preserve"> maintained.</w:t>
            </w:r>
          </w:p>
          <w:p w:rsidR="00000000" w:rsidRPr="00177170" w:rsidP="00177170">
            <w:pPr>
              <w:pStyle w:val="BodyText"/>
            </w:pPr>
            <w:r w:rsidRPr="00177170">
              <w:t>It includes identifying technical context of the organisation to establish technical creator’s accountability requirements and developing a management system framework. It also includes identifying and responding to contextual changes over a s</w:t>
            </w:r>
            <w:r w:rsidRPr="00177170">
              <w:t>ystem project life cycle.</w:t>
            </w:r>
          </w:p>
          <w:p w:rsidR="00000000" w:rsidRPr="00177170" w:rsidP="00177170">
            <w:pPr>
              <w:pStyle w:val="BodyText"/>
            </w:pPr>
            <w:r w:rsidRPr="00177170">
              <w:t>This unit applies to technical regulatory framework specialists working in Defence materiel logistics but is applicable to any individual in this field of work.</w:t>
            </w:r>
          </w:p>
          <w:p w:rsidR="00000000" w:rsidRPr="00177170" w:rsidP="00177170">
            <w:pPr>
              <w:pStyle w:val="BodyText"/>
            </w:pPr>
            <w:r w:rsidRPr="00177170">
              <w:t>The skills and knowledge described in this unit must be applied withi</w:t>
            </w:r>
            <w:r w:rsidRPr="00177170">
              <w:t>n the legislative, regulatory and policy environment in which they are carried out. Organisational policies and procedures must be consulted and adhered to.</w:t>
            </w:r>
          </w:p>
          <w:p w:rsidR="00000000" w:rsidRPr="00177170" w:rsidP="00177170">
            <w:pPr>
              <w:pStyle w:val="BodyText"/>
            </w:pPr>
            <w:r w:rsidRPr="00177170">
              <w:t>Typically, persons undertaking this unit work independently or as part of a team under direct and/o</w:t>
            </w:r>
            <w:r w:rsidRPr="00177170">
              <w:t>r indirect supervision, use discretion and judgement, and take responsibility for the quality of their outputs.</w:t>
            </w:r>
          </w:p>
          <w:p w:rsidR="00000000" w:rsidRPr="00177170" w:rsidP="00177170">
            <w:pPr>
              <w:pStyle w:val="BodyText"/>
            </w:pPr>
            <w:r w:rsidRPr="00177170">
              <w:t>No licensing, legislative or certification requirements apply to this unit at the time of publication.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3" w:name="O_958023"/>
      <w:bookmarkEnd w:id="3"/>
      <w:r w:rsidRPr="001771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Not</w:t>
            </w:r>
            <w:r w:rsidRPr="00177170">
              <w:t xml:space="preserve"> applicable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4" w:name="O_958024"/>
      <w:bookmarkEnd w:id="4"/>
      <w:r w:rsidRPr="001771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General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5" w:name="O_958025"/>
      <w:bookmarkEnd w:id="5"/>
      <w:r w:rsidRPr="001771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Not applicable.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6" w:name="O_958026"/>
      <w:bookmarkEnd w:id="6"/>
      <w:r w:rsidRPr="0017717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PERFORMANCE CRITERIA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Performance criteria describe the performance needed to demonstrate achievement of the element.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>Identify technical context of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Determine and document technical context, nature of the jurisdiction and nature of the organisation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1</w:t>
            </w:r>
            <w:r w:rsidRPr="00177170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Identify and interpret technical regulatory framework specific to the organisation and clarify, as required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>Establish technical creator’s accountability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Identify the creator of technical data and information by determining all parts of the organisation that create technical data and information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Determine and document accountability requirements and functional responsibilities of the creators of tech</w:t>
            </w:r>
            <w:r w:rsidRPr="00177170">
              <w:t>nical data and information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Verify sources used in research as authentic and document in accordance with organisational procedures and relevant industry standards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>Develop management system framework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Develop a management system framework from a</w:t>
            </w:r>
            <w:r w:rsidRPr="00177170">
              <w:t xml:space="preserve"> review and synthesis of individual technical creator requirements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Trial proposed system framework to ensure functionality, maintainability and growth potential, and make adjustments as required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Document system framework, its protocols and guidelines to ensure consistency of application by users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rPr>
                <w:rStyle w:val="SpecialBold"/>
              </w:rPr>
              <w:t>Identify and respond to contextual changes over time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Map system functions generating technical data and information and the technical framework governing them, to organisational structures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Identify and document changes to the administrative and system functional context over time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t>Analyse and re</w:t>
            </w:r>
            <w:r w:rsidRPr="00177170">
              <w:t>spond to the effects of changes on technical data and information management system structures</w:t>
            </w:r>
          </w:p>
        </w:tc>
      </w:tr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170">
            <w:pPr>
              <w:pStyle w:val="BodyText"/>
              <w:rPr>
                <w:lang w:val="en-NZ"/>
              </w:rPr>
            </w:pPr>
            <w:r w:rsidRPr="0017717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 xml:space="preserve">Review and update documentation taking identified changes into consideration in accordance with organisational procedures and relevant industry </w:t>
            </w:r>
            <w:r w:rsidRPr="00177170">
              <w:t>standards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7" w:name="O_958027"/>
      <w:bookmarkEnd w:id="7"/>
      <w:r w:rsidRPr="001771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Foundation skills essential to performance are explicit in the performance criteria of this unit of competency.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8" w:name="O_958028"/>
      <w:bookmarkEnd w:id="8"/>
      <w:r w:rsidRPr="001771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 xml:space="preserve">Range is restricted to essential operating conditions and any other </w:t>
            </w:r>
            <w:r w:rsidRPr="00177170">
              <w:t>variables essential to the work environment.</w:t>
            </w:r>
          </w:p>
          <w:p w:rsidR="00000000" w:rsidRPr="00177170" w:rsidP="00177170">
            <w:pPr>
              <w:pStyle w:val="BodyText"/>
            </w:pPr>
            <w:r w:rsidRPr="00177170">
              <w:t>Non-essential conditions may be found in the Companion Volume Implementation Guide.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9" w:name="O_958029"/>
      <w:bookmarkEnd w:id="9"/>
      <w:r w:rsidRPr="001771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This unit replaces and is equivalent to DEFCM313A Establish technical data and information management systems.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10" w:name="O_958036"/>
      <w:bookmarkEnd w:id="10"/>
      <w:r w:rsidRPr="00177170">
        <w:t>Links</w:t>
      </w:r>
    </w:p>
    <w:p w:rsidR="00000000" w:rsidRPr="00177170" w:rsidP="00F83055">
      <w:pPr>
        <w:pStyle w:val="BodyText"/>
      </w:pPr>
      <w:r w:rsidRPr="001771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367C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77170" w:rsidP="00F83055">
      <w:pPr>
        <w:pStyle w:val="BodyText"/>
        <w:sectPr w:rsidSect="001771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7170" w:rsidP="00177170">
      <w:pPr>
        <w:pStyle w:val="SuperHeading"/>
      </w:pPr>
      <w:r w:rsidRPr="00177170">
        <w:t>Assessment Requirements for DEFGEN313 Establish technical data and information management systems</w:t>
      </w:r>
    </w:p>
    <w:p w:rsidR="00000000" w:rsidRPr="00177170" w:rsidP="00177170">
      <w:pPr>
        <w:pStyle w:val="Heading1"/>
      </w:pPr>
      <w:bookmarkStart w:id="11" w:name="O_958031"/>
      <w:bookmarkEnd w:id="11"/>
      <w:r w:rsidRPr="001771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Release 1. This is the first release of this uni</w:t>
            </w:r>
            <w:r w:rsidRPr="00177170">
              <w:t>t of competency in the DEF Defence Training Package.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12" w:name="O_958032"/>
      <w:bookmarkEnd w:id="12"/>
      <w:r w:rsidRPr="001771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 xml:space="preserve">Evidence required to demonstrate competence in this unit must be relevant to and satisfy all of the requirements of the elements and performance criteria on </w:t>
            </w:r>
            <w:r w:rsidRPr="00177170">
              <w:t>at least one occasion and include:</w:t>
            </w:r>
          </w:p>
          <w:p w:rsidR="00000000" w:rsidRPr="00177170" w:rsidP="00177170">
            <w:pPr>
              <w:pStyle w:val="ListBullet"/>
            </w:pPr>
            <w:r w:rsidRPr="00177170">
              <w:t>analysing system data and information</w:t>
            </w:r>
          </w:p>
          <w:p w:rsidR="00000000" w:rsidRPr="00177170" w:rsidP="00177170">
            <w:pPr>
              <w:pStyle w:val="ListBullet"/>
            </w:pPr>
            <w:r w:rsidRPr="00177170">
              <w:t>applying relevant legislative, regulatory and organisational policies and procedures</w:t>
            </w:r>
          </w:p>
          <w:p w:rsidR="00000000" w:rsidRPr="00177170" w:rsidP="00177170">
            <w:pPr>
              <w:pStyle w:val="ListBullet"/>
            </w:pPr>
            <w:r w:rsidRPr="00177170">
              <w:t>applying technical data and information management knowledge relevant to work being performed</w:t>
            </w:r>
          </w:p>
          <w:p w:rsidR="00000000" w:rsidRPr="00177170" w:rsidP="00177170">
            <w:pPr>
              <w:pStyle w:val="ListBullet"/>
            </w:pPr>
            <w:r w:rsidRPr="00177170">
              <w:t>app</w:t>
            </w:r>
            <w:r w:rsidRPr="00177170">
              <w:t>lying, monitoring and reporting on relevant information management system implementation processes</w:t>
            </w:r>
          </w:p>
          <w:p w:rsidR="00000000" w:rsidRPr="00177170" w:rsidP="00177170">
            <w:pPr>
              <w:pStyle w:val="ListBullet"/>
            </w:pPr>
            <w:r w:rsidRPr="00177170">
              <w:t>developing management system framework</w:t>
            </w:r>
          </w:p>
          <w:p w:rsidR="00000000" w:rsidRPr="00177170" w:rsidP="00177170">
            <w:pPr>
              <w:pStyle w:val="ListBullet"/>
            </w:pPr>
            <w:r w:rsidRPr="00177170">
              <w:t>defining technical creator’s accountability requirements</w:t>
            </w:r>
          </w:p>
          <w:p w:rsidR="00000000" w:rsidRPr="00177170" w:rsidP="00177170">
            <w:pPr>
              <w:pStyle w:val="ListBullet"/>
            </w:pPr>
            <w:r w:rsidRPr="00177170">
              <w:t>identifying and responding to contextual changes over project</w:t>
            </w:r>
            <w:r w:rsidRPr="00177170">
              <w:t xml:space="preserve"> life cycle</w:t>
            </w:r>
          </w:p>
          <w:p w:rsidR="00000000" w:rsidRPr="00177170" w:rsidP="00177170">
            <w:pPr>
              <w:pStyle w:val="ListBullet"/>
            </w:pPr>
            <w:r w:rsidRPr="00177170">
              <w:t>identifying technical context of the organisation</w:t>
            </w:r>
          </w:p>
          <w:p w:rsidR="00000000" w:rsidRPr="00177170" w:rsidP="00177170">
            <w:pPr>
              <w:pStyle w:val="ListBullet"/>
            </w:pPr>
            <w:r w:rsidRPr="00177170">
              <w:t>identifying, interpreting and analysing risk assessment requirements relevant to work being performed</w:t>
            </w:r>
          </w:p>
          <w:p w:rsidR="00000000" w:rsidRPr="00177170" w:rsidP="00177170">
            <w:pPr>
              <w:pStyle w:val="ListBullet"/>
            </w:pPr>
            <w:r w:rsidRPr="00177170">
              <w:t>interpreting organisational role relevant to technical risk management system plans</w:t>
            </w:r>
          </w:p>
          <w:p w:rsidR="00000000" w:rsidRPr="00177170" w:rsidP="00177170">
            <w:pPr>
              <w:pStyle w:val="ListBullet"/>
            </w:pPr>
            <w:r w:rsidRPr="00177170">
              <w:t>planning</w:t>
            </w:r>
            <w:r w:rsidRPr="00177170">
              <w:t xml:space="preserve"> and developing technical data and information management system plans.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13" w:name="O_958033"/>
      <w:bookmarkEnd w:id="13"/>
      <w:r w:rsidRPr="001771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77170" w:rsidP="00177170">
            <w:pPr>
              <w:pStyle w:val="ListBullet"/>
            </w:pPr>
            <w:r w:rsidRPr="00177170">
              <w:t>relevant Australian and international industry standards</w:t>
            </w:r>
          </w:p>
          <w:p w:rsidR="00000000" w:rsidRPr="00177170" w:rsidP="00177170">
            <w:pPr>
              <w:pStyle w:val="ListBullet"/>
            </w:pPr>
            <w:r w:rsidRPr="00177170">
              <w:t>relevant legislati</w:t>
            </w:r>
            <w:r w:rsidRPr="00177170">
              <w:t>on and organisational policies and procedures</w:t>
            </w:r>
          </w:p>
          <w:p w:rsidR="00000000" w:rsidRPr="00177170" w:rsidP="00177170">
            <w:pPr>
              <w:pStyle w:val="ListBullet"/>
            </w:pPr>
            <w:r w:rsidRPr="00177170">
              <w:t>research methods and techniques suitable for information management systems</w:t>
            </w:r>
          </w:p>
          <w:p w:rsidR="00000000" w:rsidRPr="00177170" w:rsidP="00177170">
            <w:pPr>
              <w:pStyle w:val="ListBullet"/>
            </w:pPr>
            <w:r w:rsidRPr="00177170">
              <w:t>sources of data relevant to information management system research</w:t>
            </w:r>
          </w:p>
          <w:p w:rsidR="00000000" w:rsidRPr="00177170" w:rsidP="00177170">
            <w:pPr>
              <w:pStyle w:val="ListBullet"/>
            </w:pPr>
            <w:r w:rsidRPr="00177170">
              <w:t>technical regulatory framework compliance management systems, and m</w:t>
            </w:r>
            <w:r w:rsidRPr="00177170">
              <w:t>ust include one or more of the following:</w:t>
            </w:r>
          </w:p>
          <w:p w:rsidR="00000000" w:rsidRPr="00177170" w:rsidP="00177170">
            <w:pPr>
              <w:pStyle w:val="ListBullet2"/>
            </w:pPr>
            <w:r w:rsidRPr="00177170">
              <w:t>breach management policies and processes including the identification, classification, investigation, rectification and reporting of breaches in compliance requirements</w:t>
            </w:r>
          </w:p>
          <w:p w:rsidR="00000000" w:rsidRPr="00177170" w:rsidP="00177170">
            <w:pPr>
              <w:pStyle w:val="ListBullet2"/>
            </w:pPr>
            <w:r w:rsidRPr="00177170">
              <w:t>compliance related management information sy</w:t>
            </w:r>
            <w:r w:rsidRPr="00177170">
              <w:t>stems</w:t>
            </w:r>
          </w:p>
          <w:p w:rsidR="00000000" w:rsidRPr="00177170" w:rsidP="00177170">
            <w:pPr>
              <w:pStyle w:val="ListBullet2"/>
            </w:pPr>
            <w:r w:rsidRPr="00177170">
              <w:t>compliance reporting procedures</w:t>
            </w:r>
          </w:p>
          <w:p w:rsidR="00000000" w:rsidRPr="00177170" w:rsidP="00177170">
            <w:pPr>
              <w:pStyle w:val="ListBullet2"/>
            </w:pPr>
            <w:r w:rsidRPr="00177170">
              <w:t>continuous improvement processes for information management systems including monitoring, evaluation and review</w:t>
            </w:r>
          </w:p>
          <w:p w:rsidR="00000000" w:rsidRPr="00177170" w:rsidP="00177170">
            <w:pPr>
              <w:pStyle w:val="ListBullet2"/>
            </w:pPr>
            <w:r w:rsidRPr="00177170">
              <w:t>documentation of compliance requirements relevant to the organisation</w:t>
            </w:r>
          </w:p>
          <w:p w:rsidR="00000000" w:rsidRPr="00177170" w:rsidP="00177170">
            <w:pPr>
              <w:pStyle w:val="ListBullet2"/>
            </w:pPr>
            <w:r w:rsidRPr="00177170">
              <w:t>processes for the internal and external promulgation and promotion of information on compliance requirements and a compliance program management system</w:t>
            </w:r>
          </w:p>
          <w:p w:rsidR="00000000" w:rsidRPr="00177170" w:rsidP="00177170">
            <w:pPr>
              <w:pStyle w:val="ListBullet2"/>
            </w:pPr>
            <w:r w:rsidRPr="00177170">
              <w:t>record-keeping systems required for compliance management</w:t>
            </w:r>
          </w:p>
          <w:p w:rsidR="00000000" w:rsidRPr="00177170" w:rsidP="00177170">
            <w:pPr>
              <w:pStyle w:val="ListBullet2"/>
            </w:pPr>
            <w:r w:rsidRPr="00177170">
              <w:t>specification of compliance management functio</w:t>
            </w:r>
            <w:r w:rsidRPr="00177170">
              <w:t>ns, accountabilities and responsibilities under the technical regulatory framework</w:t>
            </w:r>
          </w:p>
          <w:p w:rsidR="00000000" w:rsidRPr="00177170" w:rsidP="00177170">
            <w:pPr>
              <w:pStyle w:val="ListBullet2"/>
            </w:pPr>
            <w:r w:rsidRPr="00177170">
              <w:t>techniques and performance indicators for monitoring the operation of an information management system.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14" w:name="O_958034"/>
      <w:bookmarkEnd w:id="14"/>
      <w:r w:rsidRPr="001771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7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170" w:rsidP="00177170">
            <w:pPr>
              <w:pStyle w:val="BodyText"/>
            </w:pPr>
            <w:r w:rsidRPr="00177170">
              <w:t>As a minimum, assessors must</w:t>
            </w:r>
            <w:r w:rsidRPr="00177170">
              <w:t xml:space="preserve"> satisfy applicable regulatory requirements, which include requirements in the Standards for Registered Training Organisations current at the time of assessment.</w:t>
            </w:r>
          </w:p>
          <w:p w:rsidR="00000000" w:rsidRPr="00177170" w:rsidP="00177170">
            <w:pPr>
              <w:pStyle w:val="BodyText"/>
            </w:pPr>
            <w:r w:rsidRPr="00177170">
              <w:t>As a minimum, assessment must satisfy applicable regulatory requirements, which include requir</w:t>
            </w:r>
            <w:r w:rsidRPr="00177170">
              <w:t>ements in the Standards for Registered Training Organisations current at the time of assessment.</w:t>
            </w:r>
          </w:p>
          <w:p w:rsidR="00000000" w:rsidRPr="00177170" w:rsidP="00177170">
            <w:pPr>
              <w:pStyle w:val="BodyText"/>
            </w:pPr>
            <w:r w:rsidRPr="00177170">
              <w:t>Assessment must occur in workplace operational situations where it is appropriate to do so; where this is not appropriate, assessment must occur in simulated w</w:t>
            </w:r>
            <w:r w:rsidRPr="00177170">
              <w:t>orkplace operational situations that replicate workplace conditions.</w:t>
            </w:r>
          </w:p>
          <w:p w:rsidR="00000000" w:rsidRPr="00177170" w:rsidP="00177170">
            <w:pPr>
              <w:pStyle w:val="BodyText"/>
            </w:pPr>
            <w:r w:rsidRPr="0017717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77170" w:rsidP="00177170">
            <w:pPr>
              <w:pStyle w:val="BodyText"/>
            </w:pPr>
            <w:r w:rsidRPr="00177170">
              <w:t>Resources for</w:t>
            </w:r>
            <w:r w:rsidRPr="00177170">
              <w:t xml:space="preserve"> assessment must include access to:</w:t>
            </w:r>
          </w:p>
          <w:p w:rsidR="00000000" w:rsidRPr="00177170" w:rsidP="00177170">
            <w:pPr>
              <w:pStyle w:val="ListBullet"/>
            </w:pPr>
            <w:r w:rsidRPr="00177170">
              <w:t>a range of relevant exercises, case studies and/or other simulations</w:t>
            </w:r>
          </w:p>
          <w:p w:rsidR="00000000" w:rsidRPr="00177170" w:rsidP="00177170">
            <w:pPr>
              <w:pStyle w:val="ListBullet"/>
            </w:pPr>
            <w:r w:rsidRPr="00177170">
              <w:t>relevant and appropriate materials, tools, equipment and workplace documentation currently used in industry</w:t>
            </w:r>
          </w:p>
          <w:p w:rsidR="00000000" w:rsidRPr="00177170" w:rsidP="00177170">
            <w:pPr>
              <w:pStyle w:val="ListBullet"/>
            </w:pPr>
            <w:r w:rsidRPr="00177170">
              <w:t>relevant guidelines and organisational pro</w:t>
            </w:r>
            <w:r w:rsidRPr="00177170">
              <w:t>cedures relating to system test and evaluation processes</w:t>
            </w:r>
          </w:p>
          <w:p w:rsidR="00000000" w:rsidRPr="00177170" w:rsidP="00177170">
            <w:pPr>
              <w:pStyle w:val="ListBullet"/>
            </w:pPr>
            <w:r w:rsidRPr="00177170">
              <w:t>applicable documentation including organisational procedures, protocols, regulations, codes of practice and operation manuals.</w:t>
            </w:r>
          </w:p>
        </w:tc>
      </w:tr>
    </w:tbl>
    <w:p w:rsidR="00000000" w:rsidRPr="00177170" w:rsidP="00177170">
      <w:pPr>
        <w:pStyle w:val="NoPaddingFontSize1"/>
      </w:pPr>
    </w:p>
    <w:p w:rsidR="00000000" w:rsidRPr="00177170" w:rsidP="00177170">
      <w:pPr>
        <w:pStyle w:val="AllowPageBreak"/>
      </w:pPr>
    </w:p>
    <w:p w:rsidR="00000000" w:rsidRPr="00177170" w:rsidP="00177170">
      <w:pPr>
        <w:pStyle w:val="Heading1"/>
      </w:pPr>
      <w:bookmarkStart w:id="15" w:name="O_958037"/>
      <w:bookmarkEnd w:id="15"/>
      <w:r w:rsidRPr="00177170">
        <w:t>Links</w:t>
      </w:r>
    </w:p>
    <w:p w:rsidR="00000000" w:rsidRPr="00177170" w:rsidP="00F83055">
      <w:pPr>
        <w:pStyle w:val="BodyText"/>
      </w:pPr>
      <w:r w:rsidRPr="00177170">
        <w:t>Companion Volume implementation guides are foun</w:t>
      </w:r>
      <w:r w:rsidRPr="00177170">
        <w:t xml:space="preserve">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367C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77170" w:rsidP="00177170"/>
    <w:sectPr w:rsidSect="001771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0" w:rsidRPr="00F83055" w:rsidP="00F83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55" w:rsidP="00177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055" w:rsidP="00177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83055" w:rsidP="001771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0" w:rsidP="00177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3055">
      <w:t>Approved</w:t>
    </w:r>
    <w:r w:rsidR="00F830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30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3055">
      <w:rPr>
        <w:noProof/>
      </w:rPr>
      <w:t>4</w:t>
    </w:r>
    <w:r>
      <w:rPr>
        <w:noProof/>
      </w:rPr>
      <w:fldChar w:fldCharType="end"/>
    </w:r>
  </w:p>
  <w:p w:rsidR="00177170" w:rsidP="00177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30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3055">
      <w:t>Public Skills Australia</w:t>
    </w:r>
    <w:r w:rsidR="00F83055">
      <w:fldChar w:fldCharType="end"/>
    </w:r>
  </w:p>
  <w:p w:rsidR="00177170" w:rsidP="00177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170" w:rsidRPr="00F83055" w:rsidP="00F83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55" w:rsidRPr="002D2AF8" w:rsidP="00177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DEFGEN313 Establish technical data and information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3055" w:rsidP="001771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0" w:rsidRPr="002D2AF8" w:rsidP="00177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3055">
      <w:t>DEFGEN313 Establish technical data and information management systems</w:t>
    </w:r>
    <w:r w:rsidR="00F830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3055">
      <w:rPr>
        <w:noProof/>
      </w:rPr>
      <w:t>2 March 2025</w:t>
    </w:r>
    <w:r>
      <w:fldChar w:fldCharType="end"/>
    </w:r>
  </w:p>
  <w:p w:rsidR="00177170" w:rsidP="00177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6C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24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80E4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170"/>
  </w:style>
  <w:style w:type="character" w:customStyle="1" w:styleId="Heading1Char">
    <w:name w:val="Heading 1 Char"/>
    <w:basedOn w:val="DefaultParagraphFont"/>
    <w:link w:val="Heading1"/>
    <w:rsid w:val="00177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1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170"/>
    <w:rPr>
      <w:b/>
      <w:spacing w:val="0"/>
    </w:rPr>
  </w:style>
  <w:style w:type="paragraph" w:styleId="ListBullet2">
    <w:name w:val="List Bullet 2"/>
    <w:basedOn w:val="List2"/>
    <w:rsid w:val="001771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7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170"/>
    <w:rPr>
      <w:i/>
    </w:rPr>
  </w:style>
  <w:style w:type="paragraph" w:styleId="Caption">
    <w:name w:val="caption"/>
    <w:basedOn w:val="BodyText"/>
    <w:next w:val="Normal"/>
    <w:qFormat/>
    <w:rsid w:val="00177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170"/>
  </w:style>
  <w:style w:type="paragraph" w:styleId="TableofFigures">
    <w:name w:val="table of figures"/>
    <w:basedOn w:val="Normal"/>
    <w:next w:val="Normal"/>
    <w:semiHidden/>
    <w:rsid w:val="00177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1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170"/>
    <w:rPr>
      <w:rFonts w:ascii="Wingdings" w:hAnsi="Wingdings"/>
    </w:rPr>
  </w:style>
  <w:style w:type="paragraph" w:customStyle="1" w:styleId="TableHeading">
    <w:name w:val="Table Heading"/>
    <w:basedOn w:val="HeadingBase"/>
    <w:rsid w:val="00177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170"/>
    <w:rPr>
      <w:color w:val="0033CC"/>
      <w:u w:val="none"/>
    </w:rPr>
  </w:style>
  <w:style w:type="paragraph" w:customStyle="1" w:styleId="BodyTextRight">
    <w:name w:val="Body Text Right"/>
    <w:basedOn w:val="BodyText"/>
    <w:rsid w:val="00177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170"/>
    <w:rPr>
      <w:sz w:val="32"/>
    </w:rPr>
  </w:style>
  <w:style w:type="paragraph" w:customStyle="1" w:styleId="HeadingProcedure">
    <w:name w:val="Heading Procedure"/>
    <w:basedOn w:val="HeadingBase"/>
    <w:next w:val="Normal"/>
    <w:rsid w:val="00177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170"/>
    <w:pPr>
      <w:spacing w:before="60" w:after="60"/>
    </w:pPr>
  </w:style>
  <w:style w:type="paragraph" w:styleId="ListContinue">
    <w:name w:val="List Continue"/>
    <w:basedOn w:val="List"/>
    <w:rsid w:val="00177170"/>
    <w:pPr>
      <w:ind w:firstLine="0"/>
    </w:pPr>
  </w:style>
  <w:style w:type="paragraph" w:customStyle="1" w:styleId="ListNote">
    <w:name w:val="List Note"/>
    <w:basedOn w:val="List"/>
    <w:rsid w:val="00177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170"/>
    <w:rPr>
      <w:rFonts w:ascii="Courier New" w:hAnsi="Courier New"/>
    </w:rPr>
  </w:style>
  <w:style w:type="paragraph" w:customStyle="1" w:styleId="NoteBullet">
    <w:name w:val="Note Bullet"/>
    <w:basedOn w:val="Note"/>
    <w:rsid w:val="00177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170"/>
    <w:rPr>
      <w:b/>
      <w:smallCaps/>
    </w:rPr>
  </w:style>
  <w:style w:type="paragraph" w:customStyle="1" w:styleId="TableListNumber">
    <w:name w:val="Table List Number"/>
    <w:basedOn w:val="ListNumber"/>
    <w:rsid w:val="00177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170"/>
    <w:pPr>
      <w:numPr>
        <w:numId w:val="9"/>
      </w:numPr>
    </w:pPr>
  </w:style>
  <w:style w:type="paragraph" w:customStyle="1" w:styleId="ListAlpha2">
    <w:name w:val="List Alpha 2"/>
    <w:basedOn w:val="List2"/>
    <w:rsid w:val="00177170"/>
    <w:pPr>
      <w:numPr>
        <w:numId w:val="8"/>
      </w:numPr>
    </w:pPr>
  </w:style>
  <w:style w:type="paragraph" w:styleId="List2">
    <w:name w:val="List 2"/>
    <w:basedOn w:val="BodyText"/>
    <w:rsid w:val="00177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1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170"/>
    <w:pPr>
      <w:numPr>
        <w:numId w:val="4"/>
      </w:numPr>
    </w:pPr>
  </w:style>
  <w:style w:type="paragraph" w:styleId="ListContinue2">
    <w:name w:val="List Continue 2"/>
    <w:basedOn w:val="List2"/>
    <w:rsid w:val="00177170"/>
    <w:pPr>
      <w:ind w:firstLine="0"/>
    </w:pPr>
  </w:style>
  <w:style w:type="paragraph" w:styleId="ListContinue3">
    <w:name w:val="List Continue 3"/>
    <w:basedOn w:val="List3"/>
    <w:rsid w:val="00177170"/>
    <w:pPr>
      <w:ind w:left="1021" w:firstLine="0"/>
    </w:pPr>
  </w:style>
  <w:style w:type="paragraph" w:styleId="ListContinue4">
    <w:name w:val="List Continue 4"/>
    <w:basedOn w:val="List4"/>
    <w:rsid w:val="00177170"/>
    <w:pPr>
      <w:ind w:firstLine="0"/>
    </w:pPr>
  </w:style>
  <w:style w:type="paragraph" w:styleId="ListContinue5">
    <w:name w:val="List Continue 5"/>
    <w:basedOn w:val="List5"/>
    <w:rsid w:val="00177170"/>
    <w:pPr>
      <w:ind w:firstLine="0"/>
    </w:pPr>
  </w:style>
  <w:style w:type="paragraph" w:styleId="ListNumber3">
    <w:name w:val="List Number 3"/>
    <w:basedOn w:val="List3"/>
    <w:rsid w:val="00177170"/>
    <w:pPr>
      <w:numPr>
        <w:numId w:val="5"/>
      </w:numPr>
    </w:pPr>
  </w:style>
  <w:style w:type="paragraph" w:styleId="ListNumber4">
    <w:name w:val="List Number 4"/>
    <w:basedOn w:val="List4"/>
    <w:rsid w:val="00177170"/>
    <w:pPr>
      <w:numPr>
        <w:numId w:val="6"/>
      </w:numPr>
    </w:pPr>
  </w:style>
  <w:style w:type="paragraph" w:styleId="ListNumber5">
    <w:name w:val="List Number 5"/>
    <w:basedOn w:val="List5"/>
    <w:rsid w:val="00177170"/>
    <w:pPr>
      <w:numPr>
        <w:numId w:val="7"/>
      </w:numPr>
    </w:pPr>
  </w:style>
  <w:style w:type="paragraph" w:styleId="BlockText">
    <w:name w:val="Block Text"/>
    <w:basedOn w:val="Normal"/>
    <w:rsid w:val="00177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170"/>
    <w:rPr>
      <w:sz w:val="16"/>
      <w:vertAlign w:val="superscript"/>
    </w:rPr>
  </w:style>
  <w:style w:type="character" w:customStyle="1" w:styleId="Symbols">
    <w:name w:val="Symbols"/>
    <w:basedOn w:val="DefaultParagraphFont"/>
    <w:rsid w:val="00177170"/>
    <w:rPr>
      <w:rFonts w:ascii="Symbol" w:hAnsi="Symbol"/>
    </w:rPr>
  </w:style>
  <w:style w:type="character" w:customStyle="1" w:styleId="MenuOptions">
    <w:name w:val="Menu Options"/>
    <w:basedOn w:val="DefaultParagraphFont"/>
    <w:rsid w:val="00177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170"/>
    <w:rPr>
      <w:b/>
    </w:rPr>
  </w:style>
  <w:style w:type="character" w:customStyle="1" w:styleId="Underlined">
    <w:name w:val="Underlined"/>
    <w:basedOn w:val="DefaultParagraphFont"/>
    <w:rsid w:val="00177170"/>
    <w:rPr>
      <w:u w:val="single"/>
    </w:rPr>
  </w:style>
  <w:style w:type="paragraph" w:customStyle="1" w:styleId="TableBodyTextRight">
    <w:name w:val="Table Body Text Right"/>
    <w:basedOn w:val="TableBodyText"/>
    <w:rsid w:val="00177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170"/>
    <w:rPr>
      <w:sz w:val="18"/>
    </w:rPr>
  </w:style>
  <w:style w:type="paragraph" w:customStyle="1" w:styleId="BodySmallRight">
    <w:name w:val="Body Small Right"/>
    <w:basedOn w:val="BodyTextRight"/>
    <w:rsid w:val="00177170"/>
    <w:rPr>
      <w:sz w:val="18"/>
      <w:szCs w:val="18"/>
    </w:rPr>
  </w:style>
  <w:style w:type="paragraph" w:customStyle="1" w:styleId="MarginEdition">
    <w:name w:val="Margin Edition"/>
    <w:basedOn w:val="MarginNote"/>
    <w:rsid w:val="00177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170"/>
    <w:rPr>
      <w:sz w:val="2"/>
      <w:szCs w:val="2"/>
    </w:rPr>
  </w:style>
  <w:style w:type="character" w:customStyle="1" w:styleId="Small">
    <w:name w:val="Small"/>
    <w:basedOn w:val="DefaultParagraphFont"/>
    <w:rsid w:val="00177170"/>
    <w:rPr>
      <w:sz w:val="16"/>
    </w:rPr>
  </w:style>
  <w:style w:type="paragraph" w:customStyle="1" w:styleId="WideTable">
    <w:name w:val="Wide Table"/>
    <w:basedOn w:val="Normal"/>
    <w:rsid w:val="00177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170"/>
  </w:style>
  <w:style w:type="paragraph" w:styleId="Quote">
    <w:name w:val="Quote"/>
    <w:basedOn w:val="Heading1"/>
    <w:link w:val="QuoteChar"/>
    <w:qFormat/>
    <w:rsid w:val="00177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170"/>
    <w:pPr>
      <w:pageBreakBefore/>
    </w:pPr>
  </w:style>
  <w:style w:type="paragraph" w:customStyle="1" w:styleId="Border">
    <w:name w:val="Border"/>
    <w:basedOn w:val="Normal"/>
    <w:qFormat/>
    <w:rsid w:val="00177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170"/>
    <w:rPr>
      <w:u w:val="single"/>
    </w:rPr>
  </w:style>
  <w:style w:type="character" w:customStyle="1" w:styleId="BoldandItalics">
    <w:name w:val="Bold and Italics"/>
    <w:qFormat/>
    <w:rsid w:val="00177170"/>
    <w:rPr>
      <w:b/>
      <w:i/>
      <w:u w:val="none"/>
    </w:rPr>
  </w:style>
  <w:style w:type="paragraph" w:styleId="BalloonText">
    <w:name w:val="Balloon Text"/>
    <w:basedOn w:val="Normal"/>
    <w:link w:val="BalloonTextChar"/>
    <w:rsid w:val="00177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170"/>
    <w:pPr>
      <w:spacing w:before="0" w:after="0"/>
    </w:pPr>
  </w:style>
  <w:style w:type="paragraph" w:customStyle="1" w:styleId="BodyTextBold">
    <w:name w:val="Body Text Bold"/>
    <w:basedOn w:val="BodyText"/>
    <w:qFormat/>
    <w:rsid w:val="00177170"/>
    <w:rPr>
      <w:b/>
    </w:rPr>
  </w:style>
  <w:style w:type="character" w:styleId="Hyperlink">
    <w:name w:val="Hyperlink"/>
    <w:basedOn w:val="DefaultParagraphFont"/>
    <w:uiPriority w:val="99"/>
    <w:unhideWhenUsed/>
    <w:rsid w:val="00F83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1105</Words>
  <Characters>7474</Characters>
  <Application>Microsoft Office Word</Application>
  <DocSecurity>0</DocSecurity>
  <Lines>233</Lines>
  <Paragraphs>128</Paragraphs>
  <ScaleCrop>false</ScaleCrop>
  <Company>Author-it Software Corporation Ltd.</Company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DEFGEN313 Establish technical data and information management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