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77B" w:rsidP="009F17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DEFGEN311 Implement and manage technical risk management</w:t>
      </w:r>
      <w:r>
        <w:fldChar w:fldCharType="end"/>
      </w:r>
    </w:p>
    <w:p w:rsidR="009F177B" w:rsidP="009F177B">
      <w:pPr>
        <w:pStyle w:val="Version"/>
        <w:sectPr w:rsidSect="00FA6E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6E62" w:rsidP="00FA6E62">
      <w:pPr>
        <w:pStyle w:val="SuperHeading"/>
      </w:pPr>
      <w:r w:rsidRPr="00FA6E62">
        <w:t>DEFGEN311 Implement and manage technical risk management</w:t>
      </w:r>
    </w:p>
    <w:p w:rsidR="00000000" w:rsidRPr="00FA6E62" w:rsidP="00FA6E62">
      <w:pPr>
        <w:pStyle w:val="Heading1"/>
      </w:pPr>
      <w:bookmarkStart w:id="1" w:name="O_958002"/>
      <w:bookmarkEnd w:id="1"/>
      <w:r w:rsidRPr="00FA6E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6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2" w:rsidP="00FA6E62">
            <w:pPr>
              <w:pStyle w:val="BodyText"/>
            </w:pPr>
            <w:r w:rsidRPr="00FA6E62">
              <w:t>Release 1. This is the first release of this unit of competency in the DEF Defence Training Package.</w:t>
            </w:r>
          </w:p>
        </w:tc>
      </w:tr>
    </w:tbl>
    <w:p w:rsidR="00000000" w:rsidRPr="00FA6E62" w:rsidP="00FA6E62">
      <w:pPr>
        <w:pStyle w:val="NoPaddingFontSize1"/>
      </w:pPr>
    </w:p>
    <w:p w:rsidR="00000000" w:rsidRPr="00FA6E62" w:rsidP="00FA6E62">
      <w:pPr>
        <w:pStyle w:val="AllowPageBreak"/>
      </w:pPr>
    </w:p>
    <w:p w:rsidR="00000000" w:rsidRPr="00FA6E62" w:rsidP="00FA6E62">
      <w:pPr>
        <w:pStyle w:val="Heading1"/>
      </w:pPr>
      <w:bookmarkStart w:id="2" w:name="O_958003"/>
      <w:bookmarkEnd w:id="2"/>
      <w:r w:rsidRPr="00FA6E6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6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2" w:rsidP="00FA6E62">
            <w:pPr>
              <w:pStyle w:val="BodyText"/>
            </w:pPr>
            <w:r w:rsidRPr="00FA6E62">
              <w:t>This unit specifies the skills and knowledge required to manage risk within the organis</w:t>
            </w:r>
            <w:r w:rsidRPr="00FA6E62">
              <w:t>ation’s environment in order to avoid adverse effects on the technical integrity of the organisation’s materiel.</w:t>
            </w:r>
          </w:p>
          <w:p w:rsidR="00000000" w:rsidRPr="00FA6E62" w:rsidP="00FA6E62">
            <w:pPr>
              <w:pStyle w:val="BodyText"/>
            </w:pPr>
            <w:r w:rsidRPr="00FA6E62">
              <w:t>It includes determining, monitoring and controlling risks, and assessing technical risk management outcomes.</w:t>
            </w:r>
          </w:p>
          <w:p w:rsidR="00000000" w:rsidRPr="00FA6E62" w:rsidP="00FA6E62">
            <w:pPr>
              <w:pStyle w:val="BodyText"/>
            </w:pPr>
            <w:r w:rsidRPr="00FA6E62">
              <w:t>This unit applies to technical reg</w:t>
            </w:r>
            <w:r w:rsidRPr="00FA6E62">
              <w:t>ulatory framework specialists working in Defence materiel logistics but is applicable to any individual in this field of work.</w:t>
            </w:r>
          </w:p>
          <w:p w:rsidR="00000000" w:rsidRPr="00FA6E62" w:rsidP="00FA6E62">
            <w:pPr>
              <w:pStyle w:val="BodyText"/>
            </w:pPr>
            <w:r w:rsidRPr="00FA6E62">
              <w:t>The skills and knowledge described in this unit must be applied within the legislative, regulatory and policy environment in whic</w:t>
            </w:r>
            <w:r w:rsidRPr="00FA6E62">
              <w:t>h they are carried out. Organisational policies and procedures must be consulted and adhered to.</w:t>
            </w:r>
          </w:p>
          <w:p w:rsidR="00000000" w:rsidRPr="00FA6E62" w:rsidP="00FA6E62">
            <w:pPr>
              <w:pStyle w:val="BodyText"/>
            </w:pPr>
            <w:r w:rsidRPr="00FA6E62">
              <w:t>Typically, persons undertaking this unit work independently or as part of a team under direct and/or indirect supervision, use discretion and judgement, undert</w:t>
            </w:r>
            <w:r w:rsidRPr="00FA6E62">
              <w:t>ake complex tasks and take responsibility for the quality of their outputs.</w:t>
            </w:r>
          </w:p>
          <w:p w:rsidR="00000000" w:rsidRPr="00FA6E62" w:rsidP="00FA6E62">
            <w:pPr>
              <w:pStyle w:val="BodyText"/>
            </w:pPr>
            <w:r w:rsidRPr="00FA6E62">
              <w:t>No licensing, legislative or certification requirements apply to this unit at the time of publication.</w:t>
            </w:r>
          </w:p>
        </w:tc>
      </w:tr>
    </w:tbl>
    <w:p w:rsidR="00000000" w:rsidRPr="00FA6E62" w:rsidP="00FA6E62">
      <w:pPr>
        <w:pStyle w:val="NoPaddingFontSize1"/>
      </w:pPr>
    </w:p>
    <w:p w:rsidR="00000000" w:rsidRPr="00FA6E62" w:rsidP="00FA6E62">
      <w:pPr>
        <w:pStyle w:val="AllowPageBreak"/>
      </w:pPr>
    </w:p>
    <w:p w:rsidR="00000000" w:rsidRPr="00FA6E62" w:rsidP="00FA6E62">
      <w:pPr>
        <w:pStyle w:val="Heading1"/>
      </w:pPr>
      <w:bookmarkStart w:id="3" w:name="O_958004"/>
      <w:bookmarkEnd w:id="3"/>
      <w:r w:rsidRPr="00FA6E6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6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2" w:rsidP="00FA6E62">
            <w:pPr>
              <w:pStyle w:val="BodyText"/>
            </w:pPr>
            <w:r w:rsidRPr="00FA6E62">
              <w:t>Not applicable</w:t>
            </w:r>
          </w:p>
        </w:tc>
      </w:tr>
    </w:tbl>
    <w:p w:rsidR="00000000" w:rsidRPr="00FA6E62" w:rsidP="00FA6E62">
      <w:pPr>
        <w:pStyle w:val="NoPaddingFontSize1"/>
      </w:pPr>
    </w:p>
    <w:p w:rsidR="00000000" w:rsidRPr="00FA6E62" w:rsidP="00FA6E62">
      <w:pPr>
        <w:pStyle w:val="AllowPageBreak"/>
      </w:pPr>
    </w:p>
    <w:p w:rsidR="00000000" w:rsidRPr="00FA6E62" w:rsidP="00FA6E62">
      <w:pPr>
        <w:pStyle w:val="Heading1"/>
      </w:pPr>
      <w:bookmarkStart w:id="4" w:name="O_958005"/>
      <w:bookmarkEnd w:id="4"/>
      <w:r w:rsidRPr="00FA6E62">
        <w:t>Compe</w:t>
      </w:r>
      <w:r w:rsidRPr="00FA6E62">
        <w:t>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6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2" w:rsidP="00FA6E62">
            <w:pPr>
              <w:pStyle w:val="BodyText"/>
            </w:pPr>
            <w:r w:rsidRPr="00FA6E62">
              <w:t>General</w:t>
            </w:r>
          </w:p>
        </w:tc>
      </w:tr>
    </w:tbl>
    <w:p w:rsidR="00000000" w:rsidRPr="00FA6E62" w:rsidP="00FA6E62">
      <w:pPr>
        <w:pStyle w:val="NoPaddingFontSize1"/>
      </w:pPr>
    </w:p>
    <w:p w:rsidR="00000000" w:rsidRPr="00FA6E62" w:rsidP="00FA6E62">
      <w:pPr>
        <w:pStyle w:val="AllowPageBreak"/>
      </w:pPr>
    </w:p>
    <w:p w:rsidR="00000000" w:rsidRPr="00FA6E62" w:rsidP="00FA6E62">
      <w:pPr>
        <w:pStyle w:val="Heading1"/>
      </w:pPr>
      <w:bookmarkStart w:id="5" w:name="O_958006"/>
      <w:bookmarkEnd w:id="5"/>
      <w:r w:rsidRPr="00FA6E6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6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2" w:rsidP="00FA6E62">
            <w:pPr>
              <w:pStyle w:val="BodyText"/>
            </w:pPr>
            <w:r w:rsidRPr="00FA6E62">
              <w:t>Not applicable.</w:t>
            </w:r>
          </w:p>
        </w:tc>
      </w:tr>
    </w:tbl>
    <w:p w:rsidR="00000000" w:rsidRPr="00FA6E62" w:rsidP="00FA6E62">
      <w:pPr>
        <w:pStyle w:val="NoPaddingFontSize1"/>
      </w:pPr>
    </w:p>
    <w:p w:rsidR="00000000" w:rsidRPr="00FA6E62" w:rsidP="00FA6E62">
      <w:pPr>
        <w:pStyle w:val="AllowPageBreak"/>
      </w:pPr>
    </w:p>
    <w:p w:rsidR="00000000" w:rsidRPr="00FA6E62" w:rsidP="00FA6E62">
      <w:pPr>
        <w:pStyle w:val="Heading1"/>
      </w:pPr>
      <w:bookmarkStart w:id="6" w:name="O_958007"/>
      <w:bookmarkEnd w:id="6"/>
      <w:r w:rsidRPr="00FA6E6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A6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2" w:rsidP="00FA6E62">
            <w:pPr>
              <w:pStyle w:val="BodyText"/>
            </w:pPr>
            <w:r w:rsidRPr="00FA6E6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2">
            <w:pPr>
              <w:pStyle w:val="BodyText"/>
              <w:rPr>
                <w:lang w:val="en-NZ"/>
              </w:rPr>
            </w:pPr>
            <w:r w:rsidRPr="00FA6E62">
              <w:rPr>
                <w:rStyle w:val="SpecialBold"/>
              </w:rPr>
              <w:t>PERFORMANCE CRITERIA</w:t>
            </w:r>
          </w:p>
        </w:tc>
      </w:tr>
      <w:tr w:rsidTr="00FA6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2">
            <w:pPr>
              <w:pStyle w:val="BodyText"/>
              <w:rPr>
                <w:lang w:val="en-NZ"/>
              </w:rPr>
            </w:pPr>
            <w:r w:rsidRPr="00FA6E6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2">
            <w:pPr>
              <w:pStyle w:val="BodyText"/>
              <w:rPr>
                <w:lang w:val="en-NZ"/>
              </w:rPr>
            </w:pPr>
            <w:r w:rsidRPr="00FA6E62">
              <w:t>Performance criteria describe the performance needed to demonstrate achievement of the element.</w:t>
            </w:r>
          </w:p>
        </w:tc>
      </w:tr>
      <w:tr w:rsidTr="00FA6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2" w:rsidP="00FA6E62">
            <w:pPr>
              <w:pStyle w:val="BodyText"/>
            </w:pPr>
            <w:r w:rsidRPr="00FA6E6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2" w:rsidP="00FA6E62">
            <w:pPr>
              <w:pStyle w:val="BodyText"/>
            </w:pPr>
            <w:r w:rsidRPr="00FA6E62">
              <w:rPr>
                <w:rStyle w:val="SpecialBold"/>
              </w:rPr>
              <w:t>Determine risks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2">
            <w:pPr>
              <w:pStyle w:val="BodyText"/>
              <w:rPr>
                <w:lang w:val="en-NZ"/>
              </w:rPr>
            </w:pPr>
            <w:r w:rsidRPr="00FA6E6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2">
            <w:pPr>
              <w:pStyle w:val="BodyText"/>
              <w:rPr>
                <w:lang w:val="en-NZ"/>
              </w:rPr>
            </w:pPr>
            <w:r w:rsidRPr="00FA6E62">
              <w:t>Identify, document and analyse technical risks as a basis for risk planning, in consultation with relevant stakeholders and higher tech</w:t>
            </w:r>
            <w:r w:rsidRPr="00FA6E62">
              <w:t>nical/engineering authorities</w:t>
            </w:r>
          </w:p>
        </w:tc>
      </w:tr>
      <w:tr w:rsidTr="00FA6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2">
            <w:pPr>
              <w:pStyle w:val="BodyText"/>
              <w:rPr>
                <w:lang w:val="en-NZ"/>
              </w:rPr>
            </w:pPr>
            <w:r w:rsidRPr="00FA6E6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2">
            <w:pPr>
              <w:pStyle w:val="BodyText"/>
              <w:rPr>
                <w:lang w:val="en-NZ"/>
              </w:rPr>
            </w:pPr>
            <w:r w:rsidRPr="00FA6E62">
              <w:t>Use established risk management techniques and tools to analyse risks and assess options, in accordance with delegated technical authority</w:t>
            </w:r>
          </w:p>
        </w:tc>
      </w:tr>
      <w:tr w:rsidTr="00FA6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2">
            <w:pPr>
              <w:pStyle w:val="BodyText"/>
              <w:rPr>
                <w:lang w:val="en-NZ"/>
              </w:rPr>
            </w:pPr>
            <w:r w:rsidRPr="00FA6E6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2">
            <w:pPr>
              <w:pStyle w:val="BodyText"/>
              <w:rPr>
                <w:lang w:val="en-NZ"/>
              </w:rPr>
            </w:pPr>
            <w:r w:rsidRPr="00FA6E62">
              <w:t>Recommend preferred risk approaches to relevant authority to meet task requirements, in accordance with delegated technical authority and organisational procedures</w:t>
            </w:r>
          </w:p>
        </w:tc>
      </w:tr>
      <w:tr w:rsidTr="00FA6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2">
            <w:pPr>
              <w:pStyle w:val="BodyText"/>
              <w:rPr>
                <w:lang w:val="en-NZ"/>
              </w:rPr>
            </w:pPr>
            <w:r w:rsidRPr="00FA6E6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2">
            <w:pPr>
              <w:pStyle w:val="BodyText"/>
              <w:rPr>
                <w:lang w:val="en-NZ"/>
              </w:rPr>
            </w:pPr>
            <w:r w:rsidRPr="00FA6E62">
              <w:t>Develop plans, seek stakeholder agreement about plans and communicate plans effective</w:t>
            </w:r>
            <w:r w:rsidRPr="00FA6E62">
              <w:t>ly to ensure clarity of understanding and ongoing management of technical risk factors</w:t>
            </w:r>
          </w:p>
        </w:tc>
      </w:tr>
      <w:tr w:rsidTr="00FA6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2">
            <w:pPr>
              <w:pStyle w:val="BodyText"/>
              <w:rPr>
                <w:lang w:val="en-NZ"/>
              </w:rPr>
            </w:pPr>
            <w:r w:rsidRPr="00FA6E6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2">
            <w:pPr>
              <w:pStyle w:val="BodyText"/>
              <w:rPr>
                <w:lang w:val="en-NZ"/>
              </w:rPr>
            </w:pPr>
            <w:r w:rsidRPr="00FA6E62">
              <w:t>Determine designated risk management processes and procedures to enable effective management and communication of risk events, responses and results</w:t>
            </w:r>
          </w:p>
        </w:tc>
      </w:tr>
      <w:tr w:rsidTr="00FA6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2" w:rsidP="00FA6E62">
            <w:pPr>
              <w:pStyle w:val="BodyText"/>
            </w:pPr>
            <w:r w:rsidRPr="00FA6E6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2" w:rsidP="00FA6E62">
            <w:pPr>
              <w:pStyle w:val="BodyText"/>
            </w:pPr>
            <w:r w:rsidRPr="00FA6E62">
              <w:rPr>
                <w:rStyle w:val="SpecialBold"/>
              </w:rPr>
              <w:t>Monitor an</w:t>
            </w:r>
            <w:r w:rsidRPr="00FA6E62">
              <w:rPr>
                <w:rStyle w:val="SpecialBold"/>
              </w:rPr>
              <w:t>d control risk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2">
            <w:pPr>
              <w:pStyle w:val="BodyText"/>
              <w:rPr>
                <w:lang w:val="en-NZ"/>
              </w:rPr>
            </w:pPr>
            <w:r w:rsidRPr="00FA6E6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2">
            <w:pPr>
              <w:pStyle w:val="BodyText"/>
              <w:rPr>
                <w:lang w:val="en-NZ"/>
              </w:rPr>
            </w:pPr>
            <w:r w:rsidRPr="00FA6E62">
              <w:t>Manage activities in accordance with organisational engineering management plan to ensure a common approach to achieving objectives</w:t>
            </w:r>
          </w:p>
        </w:tc>
      </w:tr>
      <w:tr w:rsidTr="00FA6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2">
            <w:pPr>
              <w:pStyle w:val="BodyText"/>
              <w:rPr>
                <w:lang w:val="en-NZ"/>
              </w:rPr>
            </w:pPr>
            <w:r w:rsidRPr="00FA6E6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2">
            <w:pPr>
              <w:pStyle w:val="BodyText"/>
              <w:rPr>
                <w:lang w:val="en-NZ"/>
              </w:rPr>
            </w:pPr>
            <w:r w:rsidRPr="00FA6E62">
              <w:t>Monitor progress against organisational engineering management plan and risk management plan to identify variances and recommend responses to higher technical authority for remedial action</w:t>
            </w:r>
          </w:p>
        </w:tc>
      </w:tr>
      <w:tr w:rsidTr="00FA6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2">
            <w:pPr>
              <w:pStyle w:val="BodyText"/>
              <w:rPr>
                <w:lang w:val="en-NZ"/>
              </w:rPr>
            </w:pPr>
            <w:r w:rsidRPr="00FA6E6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2">
            <w:pPr>
              <w:pStyle w:val="BodyText"/>
              <w:rPr>
                <w:lang w:val="en-NZ"/>
              </w:rPr>
            </w:pPr>
            <w:r w:rsidRPr="00FA6E62">
              <w:t xml:space="preserve">Implement agreed risk responses and modify plans to reflect </w:t>
            </w:r>
            <w:r w:rsidRPr="00FA6E62">
              <w:t>changing project objectives in changing work contexts and environments</w:t>
            </w:r>
          </w:p>
        </w:tc>
      </w:tr>
      <w:tr w:rsidTr="00FA6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2" w:rsidP="00FA6E62">
            <w:pPr>
              <w:pStyle w:val="BodyText"/>
            </w:pPr>
            <w:r w:rsidRPr="00FA6E6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2" w:rsidP="00FA6E62">
            <w:pPr>
              <w:pStyle w:val="BodyText"/>
            </w:pPr>
            <w:r w:rsidRPr="00FA6E62">
              <w:rPr>
                <w:rStyle w:val="SpecialBold"/>
              </w:rPr>
              <w:t>Assess risk management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2">
            <w:pPr>
              <w:pStyle w:val="BodyText"/>
              <w:rPr>
                <w:lang w:val="en-NZ"/>
              </w:rPr>
            </w:pPr>
            <w:r w:rsidRPr="00FA6E6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2">
            <w:pPr>
              <w:pStyle w:val="BodyText"/>
              <w:rPr>
                <w:lang w:val="en-NZ"/>
              </w:rPr>
            </w:pPr>
            <w:r w:rsidRPr="00FA6E62">
              <w:t>Review outcomes of technical/engineering risk management activities to determine effectiveness of risk management processes and procedures</w:t>
            </w:r>
          </w:p>
        </w:tc>
      </w:tr>
      <w:tr w:rsidTr="00FA6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E62">
            <w:pPr>
              <w:pStyle w:val="BodyText"/>
              <w:rPr>
                <w:lang w:val="en-NZ"/>
              </w:rPr>
            </w:pPr>
            <w:r w:rsidRPr="00FA6E6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2" w:rsidP="00FA6E62">
            <w:pPr>
              <w:pStyle w:val="BodyText"/>
            </w:pPr>
            <w:r w:rsidRPr="00FA6E62">
              <w:t>Identify, document and report risk issues and recommend improvements to relevant authorities to inform future applications</w:t>
            </w:r>
          </w:p>
        </w:tc>
      </w:tr>
    </w:tbl>
    <w:p w:rsidR="00000000" w:rsidRPr="00FA6E62" w:rsidP="00FA6E62">
      <w:pPr>
        <w:pStyle w:val="NoPaddingFontSize1"/>
      </w:pPr>
    </w:p>
    <w:p w:rsidR="00000000" w:rsidRPr="00FA6E62" w:rsidP="00FA6E62">
      <w:pPr>
        <w:pStyle w:val="AllowPageBreak"/>
      </w:pPr>
    </w:p>
    <w:p w:rsidR="00000000" w:rsidRPr="00FA6E62" w:rsidP="00FA6E62">
      <w:pPr>
        <w:pStyle w:val="Heading1"/>
      </w:pPr>
      <w:bookmarkStart w:id="7" w:name="O_958008"/>
      <w:bookmarkEnd w:id="7"/>
      <w:r w:rsidRPr="00FA6E6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6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2" w:rsidP="00FA6E62">
            <w:pPr>
              <w:pStyle w:val="BodyText"/>
            </w:pPr>
            <w:r w:rsidRPr="00FA6E62">
              <w:t>Foundation skills essential to performance are explicit in the performance criteria of this unit</w:t>
            </w:r>
            <w:r w:rsidRPr="00FA6E62">
              <w:t xml:space="preserve"> of competency.</w:t>
            </w:r>
          </w:p>
        </w:tc>
      </w:tr>
    </w:tbl>
    <w:p w:rsidR="00000000" w:rsidRPr="00FA6E62" w:rsidP="00FA6E62">
      <w:pPr>
        <w:pStyle w:val="NoPaddingFontSize1"/>
      </w:pPr>
    </w:p>
    <w:p w:rsidR="00000000" w:rsidRPr="00FA6E62" w:rsidP="00FA6E62">
      <w:pPr>
        <w:pStyle w:val="AllowPageBreak"/>
      </w:pPr>
    </w:p>
    <w:p w:rsidR="00000000" w:rsidRPr="00FA6E62" w:rsidP="00FA6E62">
      <w:pPr>
        <w:pStyle w:val="Heading1"/>
      </w:pPr>
      <w:bookmarkStart w:id="8" w:name="O_958009"/>
      <w:bookmarkEnd w:id="8"/>
      <w:r w:rsidRPr="00FA6E6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6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2" w:rsidP="00FA6E62">
            <w:pPr>
              <w:pStyle w:val="BodyText"/>
            </w:pPr>
            <w:r w:rsidRPr="00FA6E62">
              <w:t>Range is restricted to essential operating conditions and any other variables essential to the work environment.</w:t>
            </w:r>
          </w:p>
          <w:p w:rsidR="00000000" w:rsidRPr="00FA6E62" w:rsidP="00FA6E62">
            <w:pPr>
              <w:pStyle w:val="BodyText"/>
            </w:pPr>
            <w:r w:rsidRPr="00FA6E62">
              <w:t>Non-essential conditions may be found in the Companion Volume Implementation Guide.</w:t>
            </w:r>
          </w:p>
        </w:tc>
      </w:tr>
    </w:tbl>
    <w:p w:rsidR="00000000" w:rsidRPr="00FA6E62" w:rsidP="00FA6E62">
      <w:pPr>
        <w:pStyle w:val="NoPaddingFontSize1"/>
      </w:pPr>
    </w:p>
    <w:p w:rsidR="00000000" w:rsidRPr="00FA6E62" w:rsidP="00FA6E62">
      <w:pPr>
        <w:pStyle w:val="AllowPageBreak"/>
      </w:pPr>
    </w:p>
    <w:p w:rsidR="00000000" w:rsidRPr="00FA6E62" w:rsidP="00FA6E62">
      <w:pPr>
        <w:pStyle w:val="Heading1"/>
      </w:pPr>
      <w:bookmarkStart w:id="9" w:name="O_958010"/>
      <w:bookmarkEnd w:id="9"/>
      <w:r w:rsidRPr="00FA6E6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6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E62" w:rsidP="00FA6E62">
            <w:pPr>
              <w:pStyle w:val="BodyText"/>
            </w:pPr>
            <w:r w:rsidRPr="00FA6E62">
              <w:t>This unit replaces and is equivalent to DEFCM311A Implement and manage technical risk management.</w:t>
            </w:r>
          </w:p>
        </w:tc>
      </w:tr>
    </w:tbl>
    <w:p w:rsidR="00000000" w:rsidRPr="00FA6E62" w:rsidP="00FA6E62">
      <w:pPr>
        <w:pStyle w:val="NoPaddingFontSize1"/>
      </w:pPr>
    </w:p>
    <w:p w:rsidR="00000000" w:rsidRPr="00FA6E62" w:rsidP="00FA6E62">
      <w:pPr>
        <w:pStyle w:val="AllowPageBreak"/>
      </w:pPr>
    </w:p>
    <w:p w:rsidR="00000000" w:rsidRPr="00FA6E62" w:rsidP="00FA6E62">
      <w:pPr>
        <w:pStyle w:val="Heading1"/>
      </w:pPr>
      <w:bookmarkStart w:id="10" w:name="O_958017"/>
      <w:bookmarkEnd w:id="10"/>
      <w:r w:rsidRPr="00FA6E62">
        <w:t>Links</w:t>
      </w:r>
    </w:p>
    <w:p w:rsidR="00000000" w:rsidRPr="00FA6E62" w:rsidP="009F177B">
      <w:pPr>
        <w:pStyle w:val="BodyText"/>
      </w:pPr>
      <w:r w:rsidRPr="00FA6E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F7AC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A6E62" w:rsidP="00FA6E62"/>
    <w:sectPr w:rsidSect="00FA6E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62" w:rsidRPr="009F177B" w:rsidP="009F17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7B" w:rsidP="00FA6E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177B" w:rsidP="00FA6E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F177B" w:rsidP="00FA6E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E62" w:rsidRPr="009F177B" w:rsidP="009F17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7B" w:rsidRPr="002D2AF8" w:rsidP="00FA6E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DEFGEN311 Implement and manage technical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F177B" w:rsidP="00FA6E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E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E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E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E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E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E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E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E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E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E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E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E62"/>
  </w:style>
  <w:style w:type="character" w:customStyle="1" w:styleId="Heading1Char">
    <w:name w:val="Heading 1 Char"/>
    <w:basedOn w:val="DefaultParagraphFont"/>
    <w:link w:val="Heading1"/>
    <w:rsid w:val="00FA6E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E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E6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A6E62"/>
    <w:rPr>
      <w:b/>
      <w:spacing w:val="0"/>
    </w:rPr>
  </w:style>
  <w:style w:type="paragraph" w:customStyle="1" w:styleId="SuperHeading">
    <w:name w:val="SuperHeading"/>
    <w:basedOn w:val="Normal"/>
    <w:rsid w:val="00FA6E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E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6E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E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E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E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E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E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E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E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E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E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E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E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E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E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E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6E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6E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6E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E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E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6E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6E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E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E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E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E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E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E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E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E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6E62"/>
    <w:rPr>
      <w:i/>
    </w:rPr>
  </w:style>
  <w:style w:type="paragraph" w:styleId="Caption">
    <w:name w:val="caption"/>
    <w:basedOn w:val="BodyText"/>
    <w:next w:val="Normal"/>
    <w:qFormat/>
    <w:rsid w:val="00FA6E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E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E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E62"/>
  </w:style>
  <w:style w:type="paragraph" w:styleId="TableofFigures">
    <w:name w:val="table of figures"/>
    <w:basedOn w:val="Normal"/>
    <w:next w:val="Normal"/>
    <w:semiHidden/>
    <w:rsid w:val="00FA6E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E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A6E62"/>
    <w:rPr>
      <w:rFonts w:ascii="Wingdings" w:hAnsi="Wingdings"/>
    </w:rPr>
  </w:style>
  <w:style w:type="paragraph" w:customStyle="1" w:styleId="TableHeading">
    <w:name w:val="Table Heading"/>
    <w:basedOn w:val="HeadingBase"/>
    <w:rsid w:val="00FA6E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E62"/>
    <w:rPr>
      <w:color w:val="0033CC"/>
      <w:u w:val="none"/>
    </w:rPr>
  </w:style>
  <w:style w:type="paragraph" w:customStyle="1" w:styleId="BodyTextRight">
    <w:name w:val="Body Text Right"/>
    <w:basedOn w:val="BodyText"/>
    <w:rsid w:val="00FA6E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E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E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E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E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E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E62"/>
    <w:rPr>
      <w:sz w:val="32"/>
    </w:rPr>
  </w:style>
  <w:style w:type="paragraph" w:customStyle="1" w:styleId="HeadingProcedure">
    <w:name w:val="Heading Procedure"/>
    <w:basedOn w:val="HeadingBase"/>
    <w:next w:val="Normal"/>
    <w:rsid w:val="00FA6E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E62"/>
    <w:pPr>
      <w:spacing w:before="60" w:after="60"/>
    </w:pPr>
  </w:style>
  <w:style w:type="paragraph" w:styleId="ListContinue">
    <w:name w:val="List Continue"/>
    <w:basedOn w:val="List"/>
    <w:rsid w:val="00FA6E62"/>
    <w:pPr>
      <w:ind w:firstLine="0"/>
    </w:pPr>
  </w:style>
  <w:style w:type="paragraph" w:customStyle="1" w:styleId="ListNote">
    <w:name w:val="List Note"/>
    <w:basedOn w:val="List"/>
    <w:rsid w:val="00FA6E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E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E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E62"/>
    <w:rPr>
      <w:rFonts w:ascii="Courier New" w:hAnsi="Courier New"/>
    </w:rPr>
  </w:style>
  <w:style w:type="paragraph" w:customStyle="1" w:styleId="NoteBullet">
    <w:name w:val="Note Bullet"/>
    <w:basedOn w:val="Note"/>
    <w:rsid w:val="00FA6E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E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E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E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E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A6E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E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E62"/>
    <w:rPr>
      <w:b/>
      <w:smallCaps/>
    </w:rPr>
  </w:style>
  <w:style w:type="paragraph" w:customStyle="1" w:styleId="TableListNumber">
    <w:name w:val="Table List Number"/>
    <w:basedOn w:val="ListNumber"/>
    <w:rsid w:val="00FA6E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E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E62"/>
    <w:pPr>
      <w:numPr>
        <w:numId w:val="7"/>
      </w:numPr>
    </w:pPr>
  </w:style>
  <w:style w:type="paragraph" w:customStyle="1" w:styleId="ListAlpha2">
    <w:name w:val="List Alpha 2"/>
    <w:basedOn w:val="List2"/>
    <w:rsid w:val="00FA6E62"/>
    <w:pPr>
      <w:numPr>
        <w:numId w:val="6"/>
      </w:numPr>
    </w:pPr>
  </w:style>
  <w:style w:type="paragraph" w:styleId="List2">
    <w:name w:val="List 2"/>
    <w:basedOn w:val="BodyText"/>
    <w:rsid w:val="00FA6E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E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E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E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E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E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6E62"/>
    <w:pPr>
      <w:numPr>
        <w:numId w:val="2"/>
      </w:numPr>
    </w:pPr>
  </w:style>
  <w:style w:type="paragraph" w:styleId="ListContinue2">
    <w:name w:val="List Continue 2"/>
    <w:basedOn w:val="List2"/>
    <w:rsid w:val="00FA6E62"/>
    <w:pPr>
      <w:ind w:firstLine="0"/>
    </w:pPr>
  </w:style>
  <w:style w:type="paragraph" w:styleId="ListContinue3">
    <w:name w:val="List Continue 3"/>
    <w:basedOn w:val="List3"/>
    <w:rsid w:val="00FA6E62"/>
    <w:pPr>
      <w:ind w:left="1021" w:firstLine="0"/>
    </w:pPr>
  </w:style>
  <w:style w:type="paragraph" w:styleId="ListContinue4">
    <w:name w:val="List Continue 4"/>
    <w:basedOn w:val="List4"/>
    <w:rsid w:val="00FA6E62"/>
    <w:pPr>
      <w:ind w:firstLine="0"/>
    </w:pPr>
  </w:style>
  <w:style w:type="paragraph" w:styleId="ListContinue5">
    <w:name w:val="List Continue 5"/>
    <w:basedOn w:val="List5"/>
    <w:rsid w:val="00FA6E62"/>
    <w:pPr>
      <w:ind w:firstLine="0"/>
    </w:pPr>
  </w:style>
  <w:style w:type="paragraph" w:styleId="ListNumber3">
    <w:name w:val="List Number 3"/>
    <w:basedOn w:val="List3"/>
    <w:rsid w:val="00FA6E62"/>
    <w:pPr>
      <w:numPr>
        <w:numId w:val="3"/>
      </w:numPr>
    </w:pPr>
  </w:style>
  <w:style w:type="paragraph" w:styleId="ListNumber4">
    <w:name w:val="List Number 4"/>
    <w:basedOn w:val="List4"/>
    <w:rsid w:val="00FA6E62"/>
    <w:pPr>
      <w:numPr>
        <w:numId w:val="4"/>
      </w:numPr>
    </w:pPr>
  </w:style>
  <w:style w:type="paragraph" w:styleId="ListNumber5">
    <w:name w:val="List Number 5"/>
    <w:basedOn w:val="List5"/>
    <w:rsid w:val="00FA6E62"/>
    <w:pPr>
      <w:numPr>
        <w:numId w:val="5"/>
      </w:numPr>
    </w:pPr>
  </w:style>
  <w:style w:type="paragraph" w:styleId="BlockText">
    <w:name w:val="Block Text"/>
    <w:basedOn w:val="Normal"/>
    <w:rsid w:val="00FA6E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E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E62"/>
    <w:rPr>
      <w:sz w:val="16"/>
      <w:vertAlign w:val="superscript"/>
    </w:rPr>
  </w:style>
  <w:style w:type="character" w:customStyle="1" w:styleId="Symbols">
    <w:name w:val="Symbols"/>
    <w:basedOn w:val="DefaultParagraphFont"/>
    <w:rsid w:val="00FA6E62"/>
    <w:rPr>
      <w:rFonts w:ascii="Symbol" w:hAnsi="Symbol"/>
    </w:rPr>
  </w:style>
  <w:style w:type="character" w:customStyle="1" w:styleId="MenuOptions">
    <w:name w:val="Menu Options"/>
    <w:basedOn w:val="DefaultParagraphFont"/>
    <w:rsid w:val="00FA6E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E62"/>
    <w:rPr>
      <w:b/>
    </w:rPr>
  </w:style>
  <w:style w:type="character" w:customStyle="1" w:styleId="Underlined">
    <w:name w:val="Underlined"/>
    <w:basedOn w:val="DefaultParagraphFont"/>
    <w:rsid w:val="00FA6E62"/>
    <w:rPr>
      <w:u w:val="single"/>
    </w:rPr>
  </w:style>
  <w:style w:type="paragraph" w:customStyle="1" w:styleId="TableBodyTextRight">
    <w:name w:val="Table Body Text Right"/>
    <w:basedOn w:val="TableBodyText"/>
    <w:rsid w:val="00FA6E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E62"/>
    <w:rPr>
      <w:sz w:val="18"/>
    </w:rPr>
  </w:style>
  <w:style w:type="paragraph" w:customStyle="1" w:styleId="BodySmallRight">
    <w:name w:val="Body Small Right"/>
    <w:basedOn w:val="BodyTextRight"/>
    <w:rsid w:val="00FA6E62"/>
    <w:rPr>
      <w:sz w:val="18"/>
      <w:szCs w:val="18"/>
    </w:rPr>
  </w:style>
  <w:style w:type="paragraph" w:customStyle="1" w:styleId="MarginEdition">
    <w:name w:val="Margin Edition"/>
    <w:basedOn w:val="MarginNote"/>
    <w:rsid w:val="00FA6E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E62"/>
    <w:rPr>
      <w:sz w:val="2"/>
      <w:szCs w:val="2"/>
    </w:rPr>
  </w:style>
  <w:style w:type="character" w:customStyle="1" w:styleId="Small">
    <w:name w:val="Small"/>
    <w:basedOn w:val="DefaultParagraphFont"/>
    <w:rsid w:val="00FA6E62"/>
    <w:rPr>
      <w:sz w:val="16"/>
    </w:rPr>
  </w:style>
  <w:style w:type="paragraph" w:customStyle="1" w:styleId="WideTable">
    <w:name w:val="Wide Table"/>
    <w:basedOn w:val="Normal"/>
    <w:rsid w:val="00FA6E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E62"/>
  </w:style>
  <w:style w:type="paragraph" w:styleId="Quote">
    <w:name w:val="Quote"/>
    <w:basedOn w:val="Heading1"/>
    <w:link w:val="QuoteChar"/>
    <w:qFormat/>
    <w:rsid w:val="00FA6E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E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E62"/>
    <w:pPr>
      <w:pageBreakBefore/>
    </w:pPr>
  </w:style>
  <w:style w:type="paragraph" w:customStyle="1" w:styleId="Border">
    <w:name w:val="Border"/>
    <w:basedOn w:val="Normal"/>
    <w:qFormat/>
    <w:rsid w:val="00FA6E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E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E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E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E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E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E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E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E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E62"/>
    <w:rPr>
      <w:u w:val="single"/>
    </w:rPr>
  </w:style>
  <w:style w:type="character" w:customStyle="1" w:styleId="BoldandItalics">
    <w:name w:val="Bold and Italics"/>
    <w:qFormat/>
    <w:rsid w:val="00FA6E62"/>
    <w:rPr>
      <w:b/>
      <w:i/>
      <w:u w:val="none"/>
    </w:rPr>
  </w:style>
  <w:style w:type="paragraph" w:styleId="BalloonText">
    <w:name w:val="Balloon Text"/>
    <w:basedOn w:val="Normal"/>
    <w:link w:val="BalloonTextChar"/>
    <w:rsid w:val="00FA6E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E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E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E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E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E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E62"/>
    <w:pPr>
      <w:spacing w:before="0" w:after="0"/>
    </w:pPr>
  </w:style>
  <w:style w:type="paragraph" w:customStyle="1" w:styleId="BodyTextBold">
    <w:name w:val="Body Text Bold"/>
    <w:basedOn w:val="BodyText"/>
    <w:qFormat/>
    <w:rsid w:val="00FA6E62"/>
    <w:rPr>
      <w:b/>
    </w:rPr>
  </w:style>
  <w:style w:type="character" w:styleId="Hyperlink">
    <w:name w:val="Hyperlink"/>
    <w:basedOn w:val="DefaultParagraphFont"/>
    <w:uiPriority w:val="99"/>
    <w:unhideWhenUsed/>
    <w:rsid w:val="009F17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3507</Characters>
  <Application>Microsoft Office Word</Application>
  <DocSecurity>0</DocSecurity>
  <Lines>140</Lines>
  <Paragraphs>69</Paragraphs>
  <ScaleCrop>false</ScaleCrop>
  <Company>Author-it Software Corporation Ltd.</Company>
  <LinksUpToDate>false</LinksUpToDate>
  <CharactersWithSpaces>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DEFGEN311 Implement and manage technical risk management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2024-11-07T12:21:00Z</dcterms:created>
  <dcterms:modified xsi:type="dcterms:W3CDTF">2024-11-07T12:21:00Z</dcterms:modified>
</cp:coreProperties>
</file>