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FEF" w:rsidP="00646FEF">
      <w:pPr>
        <w:pStyle w:val="Title"/>
      </w:pPr>
      <w:r>
        <w:fldChar w:fldCharType="begin"/>
      </w:r>
      <w:r>
        <w:instrText xml:space="preserve"> TITLE   \* MERGEFORMAT </w:instrText>
      </w:r>
      <w:r>
        <w:fldChar w:fldCharType="separate"/>
      </w:r>
      <w:r>
        <w:t>DEFGEN311 Implement and manage technical risk management</w:t>
      </w:r>
      <w:r>
        <w:fldChar w:fldCharType="end"/>
      </w:r>
    </w:p>
    <w:p w:rsidR="00646FEF" w:rsidP="00646FEF">
      <w:pPr>
        <w:pStyle w:val="Version"/>
        <w:sectPr w:rsidSect="00567E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EE6" w:rsidP="00567EE6">
      <w:pPr>
        <w:pStyle w:val="SuperHeading"/>
      </w:pPr>
      <w:r w:rsidRPr="00567EE6">
        <w:t>DEFGEN311 Implement and manage technical risk management</w:t>
      </w:r>
    </w:p>
    <w:p w:rsidR="00000000" w:rsidRPr="00567EE6" w:rsidP="00567EE6">
      <w:pPr>
        <w:pStyle w:val="Heading1"/>
      </w:pPr>
      <w:bookmarkStart w:id="1" w:name="O_958002"/>
      <w:bookmarkEnd w:id="1"/>
      <w:r w:rsidRPr="00567EE6">
        <w:t>Modification History</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Release 1. This is the first release of this unit of competency in the DEF Defence Training Package.</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2" w:name="O_958003"/>
      <w:bookmarkEnd w:id="2"/>
      <w:r w:rsidRPr="00567EE6">
        <w:t>Application</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This unit specifies the skills and knowledge required to manage risk within the organis</w:t>
            </w:r>
            <w:r w:rsidRPr="00567EE6">
              <w:t>ation’s environment in order to avoid adverse effects on the technical integrity of the organisation’s materiel.</w:t>
            </w:r>
          </w:p>
          <w:p w:rsidR="00000000" w:rsidRPr="00567EE6" w:rsidP="00567EE6">
            <w:pPr>
              <w:pStyle w:val="BodyText"/>
            </w:pPr>
            <w:r w:rsidRPr="00567EE6">
              <w:t>It includes determining, monitoring and controlling risks, and assessing technical risk management outcomes.</w:t>
            </w:r>
          </w:p>
          <w:p w:rsidR="00000000" w:rsidRPr="00567EE6" w:rsidP="00567EE6">
            <w:pPr>
              <w:pStyle w:val="BodyText"/>
            </w:pPr>
            <w:r w:rsidRPr="00567EE6">
              <w:t>This unit applies to technical reg</w:t>
            </w:r>
            <w:r w:rsidRPr="00567EE6">
              <w:t>ulatory framework specialists working in Defence materiel logistics but is applicable to any individual in this field of work.</w:t>
            </w:r>
          </w:p>
          <w:p w:rsidR="00000000" w:rsidRPr="00567EE6" w:rsidP="00567EE6">
            <w:pPr>
              <w:pStyle w:val="BodyText"/>
            </w:pPr>
            <w:r w:rsidRPr="00567EE6">
              <w:t>The skills and knowledge described in this unit must be applied within the legislative, regulatory and policy environment in whic</w:t>
            </w:r>
            <w:r w:rsidRPr="00567EE6">
              <w:t>h they are carried out. Organisational policies and procedures must be consulted and adhered to.</w:t>
            </w:r>
          </w:p>
          <w:p w:rsidR="00000000" w:rsidRPr="00567EE6" w:rsidP="00567EE6">
            <w:pPr>
              <w:pStyle w:val="BodyText"/>
            </w:pPr>
            <w:r w:rsidRPr="00567EE6">
              <w:t>Typically, persons undertaking this unit work independently or as part of a team under direct and/or indirect supervision, use discretion and judgement, undert</w:t>
            </w:r>
            <w:r w:rsidRPr="00567EE6">
              <w:t>ake complex tasks and take responsibility for the quality of their outputs.</w:t>
            </w:r>
          </w:p>
          <w:p w:rsidR="00000000" w:rsidRPr="00567EE6" w:rsidP="00567EE6">
            <w:pPr>
              <w:pStyle w:val="BodyText"/>
            </w:pPr>
            <w:r w:rsidRPr="00567EE6">
              <w:t>No licensing, legislative or certification requirements apply to this unit at the time of publication.</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3" w:name="O_958004"/>
      <w:bookmarkEnd w:id="3"/>
      <w:r w:rsidRPr="00567EE6">
        <w:t>Pre-requisite Unit</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Not applicable</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4" w:name="O_958005"/>
      <w:bookmarkEnd w:id="4"/>
      <w:r w:rsidRPr="00567EE6">
        <w:t>Compe</w:t>
      </w:r>
      <w:r w:rsidRPr="00567EE6">
        <w:t>tency Field</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General</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5" w:name="O_958006"/>
      <w:bookmarkEnd w:id="5"/>
      <w:r w:rsidRPr="00567EE6">
        <w:t>Unit Sector</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Not applicable.</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6" w:name="O_958007"/>
      <w:bookmarkEnd w:id="6"/>
      <w:r w:rsidRPr="00567EE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67E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PERFORMANCE CRITERIA</w:t>
            </w:r>
          </w:p>
        </w:tc>
      </w:tr>
      <w:tr w:rsidTr="00567EE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Performance criteria describe the performance needed to demonstrate achievement of the element.</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Determine risks</w:t>
            </w: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Identify, document and analyse technical risks as a basis for risk planning, in consultation with relevant stakeholders and higher tech</w:t>
            </w:r>
            <w:r w:rsidRPr="00567EE6">
              <w:t>nical/engineering authorities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Use established risk management techniques and tools to analyse risks and assess options, in accordance with delegated technical authority</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Recommend preferred risk approaches to relevant authority to meet task requirements, in accordance with delegated technical authority and organisational procedures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Develop plans, seek stakeholder agreement about plans and communicate plans effective</w:t>
            </w:r>
            <w:r w:rsidRPr="00567EE6">
              <w:t>ly to ensure clarity of understanding and ongoing management of technical risk factors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Determine designated risk management processes and procedures to enable effective management and communication of risk events, responses and results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Monitor an</w:t>
            </w:r>
            <w:r w:rsidRPr="00567EE6">
              <w:rPr>
                <w:rStyle w:val="SpecialBold"/>
              </w:rPr>
              <w:t>d control risk</w:t>
            </w: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Manage activities in accordance with organisational engineering management plan to ensure a common approach to achieving objectives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Monitor progress against org</w:t>
            </w:r>
            <w:r w:rsidRPr="00567EE6">
              <w:t>anisational engineering management plan and risk management plan to identify variances and recommend responses to higher technical authority for remedial action</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 xml:space="preserve">Implement agreed risk responses and modify plans to reflect changing project objectives </w:t>
            </w:r>
            <w:r w:rsidRPr="00567EE6">
              <w:t>in changing work contexts and environments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rPr>
                <w:rStyle w:val="SpecialBold"/>
              </w:rPr>
              <w:t>Assess risk management outcomes</w:t>
            </w: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t>Review outcomes of technical/engineering risk management activities to determine effectiveness of risk management processes and procedures</w:t>
            </w:r>
          </w:p>
        </w:tc>
      </w:tr>
      <w:tr w:rsidTr="00567EE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67EE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7EE6">
            <w:pPr>
              <w:pStyle w:val="BodyText"/>
              <w:rPr>
                <w:lang w:val="en-NZ"/>
              </w:rPr>
            </w:pPr>
            <w:r w:rsidRPr="00567EE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Identify, document and report risk issues and recommend improvements to relevant authorities to inform future applications</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7" w:name="O_958008"/>
      <w:bookmarkEnd w:id="7"/>
      <w:r w:rsidRPr="00567EE6">
        <w:t>Foundation Skills</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Foundation skills essential to performance are explicit in the performance criteria of this unit of competency.</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8" w:name="O_958009"/>
      <w:bookmarkEnd w:id="8"/>
      <w:r w:rsidRPr="00567EE6">
        <w:t>Range of Conditions</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Range is restricted to essential operating conditions and any other variables essential to the work envir</w:t>
            </w:r>
            <w:r w:rsidRPr="00567EE6">
              <w:t>onment.</w:t>
            </w:r>
          </w:p>
          <w:p w:rsidR="00000000" w:rsidRPr="00567EE6" w:rsidP="00567EE6">
            <w:pPr>
              <w:pStyle w:val="BodyText"/>
            </w:pPr>
            <w:r w:rsidRPr="00567EE6">
              <w:t>Non-essential conditions may be found in the Companion Volume Implementation Guide.</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9" w:name="O_958010"/>
      <w:bookmarkEnd w:id="9"/>
      <w:r w:rsidRPr="00567EE6">
        <w:t>Unit Mapping Information</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This unit replaces and is equivalent to DEFCM311A Implement and manage technical risk management.</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10" w:name="O_958017"/>
      <w:bookmarkEnd w:id="10"/>
      <w:r w:rsidRPr="00567EE6">
        <w:t>Lin</w:t>
      </w:r>
      <w:r w:rsidRPr="00567EE6">
        <w:t>ks</w:t>
      </w:r>
    </w:p>
    <w:p w:rsidR="00000000" w:rsidRPr="00567EE6" w:rsidP="00646FEF">
      <w:pPr>
        <w:pStyle w:val="BodyText"/>
      </w:pPr>
      <w:r w:rsidRPr="00567EE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7599">
        <w:rPr>
          <w:rStyle w:val="Hyperlink"/>
        </w:rPr>
        <w:t>https://vetnet.gov.au/Pages/TrainingDocs.aspx?q=6bdbab1e-11ed-4bc9-9cba-9e1a55d4e4a9</w:t>
      </w:r>
      <w:r>
        <w:fldChar w:fldCharType="end"/>
      </w:r>
    </w:p>
    <w:p w:rsidR="00000000" w:rsidRPr="00567EE6" w:rsidP="00646FEF">
      <w:pPr>
        <w:pStyle w:val="BodyText"/>
        <w:sectPr w:rsidSect="00567EE6">
          <w:headerReference w:type="default" r:id="rId10"/>
          <w:footerReference w:type="default" r:id="rId11"/>
          <w:pgSz w:w="11908" w:h="16833"/>
          <w:pgMar w:top="1702" w:right="1418" w:bottom="1702" w:left="1418" w:header="992" w:footer="992" w:gutter="0"/>
          <w:cols w:space="720"/>
          <w:noEndnote/>
          <w:docGrid w:linePitch="299"/>
        </w:sectPr>
      </w:pPr>
    </w:p>
    <w:p w:rsidR="00000000" w:rsidRPr="00567EE6" w:rsidP="00567EE6">
      <w:pPr>
        <w:pStyle w:val="SuperHeading"/>
      </w:pPr>
      <w:r w:rsidRPr="00567EE6">
        <w:t>Assessment Requirements for DEFGEN311 Implement and manage t</w:t>
      </w:r>
      <w:r w:rsidRPr="00567EE6">
        <w:t>echnical risk management</w:t>
      </w:r>
    </w:p>
    <w:p w:rsidR="00000000" w:rsidRPr="00567EE6" w:rsidP="00567EE6">
      <w:pPr>
        <w:pStyle w:val="Heading1"/>
      </w:pPr>
      <w:bookmarkStart w:id="11" w:name="O_958012"/>
      <w:bookmarkEnd w:id="11"/>
      <w:r w:rsidRPr="00567EE6">
        <w:t>Modification History</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Release 1. This is the first release of this unit of competency in the DEF Defence Training Package.</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12" w:name="O_958013"/>
      <w:bookmarkEnd w:id="12"/>
      <w:r w:rsidRPr="00567EE6">
        <w:t>Performance Evidence</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Evidence required to demonstrate competence in this unit must be relevant to and satisfy all of the requirements of the elements and performance criteria on at least one occasion and include:</w:t>
            </w:r>
          </w:p>
          <w:p w:rsidR="00000000" w:rsidRPr="00567EE6" w:rsidP="00567EE6">
            <w:pPr>
              <w:pStyle w:val="ListBullet"/>
            </w:pPr>
            <w:r w:rsidRPr="00567EE6">
              <w:t>adhering to relevant data collection, storage and retrieval req</w:t>
            </w:r>
            <w:r w:rsidRPr="00567EE6">
              <w:t>uirements</w:t>
            </w:r>
          </w:p>
          <w:p w:rsidR="00000000" w:rsidRPr="00567EE6" w:rsidP="00567EE6">
            <w:pPr>
              <w:pStyle w:val="ListBullet"/>
            </w:pPr>
            <w:r w:rsidRPr="00567EE6">
              <w:t>applying relevant legislation, regulations and organisational policies and procedures</w:t>
            </w:r>
          </w:p>
          <w:p w:rsidR="00000000" w:rsidRPr="00567EE6" w:rsidP="00567EE6">
            <w:pPr>
              <w:pStyle w:val="ListBullet"/>
            </w:pPr>
            <w:r w:rsidRPr="00567EE6">
              <w:t>applying technical risk management procedures</w:t>
            </w:r>
          </w:p>
          <w:p w:rsidR="00000000" w:rsidRPr="00567EE6" w:rsidP="00567EE6">
            <w:pPr>
              <w:pStyle w:val="ListBullet"/>
            </w:pPr>
            <w:r w:rsidRPr="00567EE6">
              <w:t>assessing risk management outcomes</w:t>
            </w:r>
          </w:p>
          <w:p w:rsidR="00000000" w:rsidRPr="00567EE6" w:rsidP="00567EE6">
            <w:pPr>
              <w:pStyle w:val="ListBullet"/>
            </w:pPr>
            <w:r w:rsidRPr="00567EE6">
              <w:t>determining and assessing technical risks</w:t>
            </w:r>
          </w:p>
          <w:p w:rsidR="00000000" w:rsidRPr="00567EE6" w:rsidP="00567EE6">
            <w:pPr>
              <w:pStyle w:val="ListBullet"/>
            </w:pPr>
            <w:r w:rsidRPr="00567EE6">
              <w:t>identifying critical indicators of te</w:t>
            </w:r>
            <w:r w:rsidRPr="00567EE6">
              <w:t>chnical risk and assessing the risk management system’s performance appropriate to the organisational context including:</w:t>
            </w:r>
          </w:p>
          <w:p w:rsidR="00000000" w:rsidRPr="00567EE6" w:rsidP="00567EE6">
            <w:pPr>
              <w:pStyle w:val="ListBullet2"/>
            </w:pPr>
            <w:r w:rsidRPr="00567EE6">
              <w:t>determining, monitoring and controlling risks</w:t>
            </w:r>
          </w:p>
          <w:p w:rsidR="00000000" w:rsidRPr="00567EE6" w:rsidP="00567EE6">
            <w:pPr>
              <w:pStyle w:val="ListBullet2"/>
            </w:pPr>
            <w:r w:rsidRPr="00567EE6">
              <w:t>assessing technical risk management outcomes</w:t>
            </w:r>
          </w:p>
          <w:p w:rsidR="00000000" w:rsidRPr="00567EE6" w:rsidP="00567EE6">
            <w:pPr>
              <w:pStyle w:val="ListBullet"/>
            </w:pPr>
            <w:r w:rsidRPr="00567EE6">
              <w:t>identifying, interpreting and analysing risk assessment requirements relevant to work being performed</w:t>
            </w:r>
          </w:p>
          <w:p w:rsidR="00000000" w:rsidRPr="00567EE6" w:rsidP="00567EE6">
            <w:pPr>
              <w:pStyle w:val="ListBullet"/>
            </w:pPr>
            <w:r w:rsidRPr="00567EE6">
              <w:t>interpreting organisational role relevant to technical risk management</w:t>
            </w:r>
          </w:p>
          <w:p w:rsidR="00000000" w:rsidRPr="00567EE6" w:rsidP="00567EE6">
            <w:pPr>
              <w:pStyle w:val="ListBullet"/>
            </w:pPr>
            <w:r w:rsidRPr="00567EE6">
              <w:t>modifying activities to manage variations in workplace context and environment</w:t>
            </w:r>
          </w:p>
          <w:p w:rsidR="00000000" w:rsidRPr="00567EE6" w:rsidP="00567EE6">
            <w:pPr>
              <w:pStyle w:val="ListBullet"/>
            </w:pPr>
            <w:r w:rsidRPr="00567EE6">
              <w:t>moni</w:t>
            </w:r>
            <w:r w:rsidRPr="00567EE6">
              <w:t>toring and controlling relevant risk management</w:t>
            </w:r>
          </w:p>
          <w:p w:rsidR="00000000" w:rsidRPr="00567EE6" w:rsidP="00567EE6">
            <w:pPr>
              <w:pStyle w:val="ListBullet"/>
            </w:pPr>
            <w:r w:rsidRPr="00567EE6">
              <w:t>operating equipment and systems relevant to technical risk management activities</w:t>
            </w:r>
          </w:p>
          <w:p w:rsidR="00000000" w:rsidRPr="00567EE6" w:rsidP="00567EE6">
            <w:pPr>
              <w:pStyle w:val="ListBullet"/>
            </w:pPr>
            <w:r w:rsidRPr="00567EE6">
              <w:t>working and communicating effectively with stakeholders and technical authorities.</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13" w:name="O_958014"/>
      <w:bookmarkEnd w:id="13"/>
      <w:r w:rsidRPr="00567EE6">
        <w:t>Knowledge Evidence</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Evidence required to demonstrate competence in this unit must be relevant to and satisfy all of the requirements of the elements and performance criteria and include knowledge of:</w:t>
            </w:r>
          </w:p>
          <w:p w:rsidR="00000000" w:rsidRPr="00567EE6" w:rsidP="00567EE6">
            <w:pPr>
              <w:pStyle w:val="ListBullet"/>
            </w:pPr>
            <w:r w:rsidRPr="00567EE6">
              <w:t>relevant legislation, regulations and organisational policies and procedure</w:t>
            </w:r>
            <w:r w:rsidRPr="00567EE6">
              <w:t>s</w:t>
            </w:r>
          </w:p>
          <w:p w:rsidR="00000000" w:rsidRPr="00567EE6" w:rsidP="00567EE6">
            <w:pPr>
              <w:pStyle w:val="ListBullet"/>
            </w:pPr>
            <w:r w:rsidRPr="00567EE6">
              <w:t>relevant risk management in the context of the materiel life cycle</w:t>
            </w:r>
          </w:p>
          <w:p w:rsidR="00000000" w:rsidRPr="00567EE6" w:rsidP="00567EE6">
            <w:pPr>
              <w:pStyle w:val="ListBullet"/>
            </w:pPr>
            <w:r w:rsidRPr="00567EE6">
              <w:t>relevant risk management methodologies, their capabilities, limitations, applicability and outcomes</w:t>
            </w:r>
          </w:p>
          <w:p w:rsidR="00000000" w:rsidRPr="00567EE6" w:rsidP="00567EE6">
            <w:pPr>
              <w:pStyle w:val="ListBullet"/>
            </w:pPr>
            <w:r w:rsidRPr="00567EE6">
              <w:t>technical regulatory framework, organisational engineering management plan and risk man</w:t>
            </w:r>
            <w:r w:rsidRPr="00567EE6">
              <w:t>agement plan</w:t>
            </w:r>
          </w:p>
          <w:p w:rsidR="00000000" w:rsidRPr="00567EE6" w:rsidP="00567EE6">
            <w:pPr>
              <w:pStyle w:val="ListBullet"/>
            </w:pPr>
            <w:r w:rsidRPr="00567EE6">
              <w:t>technical risk management including application in the technical/engineering context of principles, tools, techniques, standards, and processes.</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14" w:name="O_958015"/>
      <w:bookmarkEnd w:id="14"/>
      <w:r w:rsidRPr="00567EE6">
        <w:t>Assessment Conditions</w:t>
      </w:r>
    </w:p>
    <w:tbl>
      <w:tblPr>
        <w:tblW w:w="9497" w:type="dxa"/>
        <w:tblLayout w:type="fixed"/>
        <w:tblCellMar>
          <w:left w:w="62" w:type="dxa"/>
          <w:right w:w="62" w:type="dxa"/>
        </w:tblCellMar>
        <w:tblLook w:val="0000"/>
      </w:tblPr>
      <w:tblGrid>
        <w:gridCol w:w="9497"/>
      </w:tblGrid>
      <w:tr w:rsidTr="00567EE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EE6" w:rsidP="00567EE6">
            <w:pPr>
              <w:pStyle w:val="BodyText"/>
            </w:pPr>
            <w:r w:rsidRPr="00567EE6">
              <w:t>As a minimum, assessors must satisfy applicable regulatory requirements, which include requirements in the Standards for Registered Training Organisations current at the time of assessment.</w:t>
            </w:r>
          </w:p>
          <w:p w:rsidR="00000000" w:rsidRPr="00567EE6" w:rsidP="00567EE6">
            <w:pPr>
              <w:pStyle w:val="BodyText"/>
            </w:pPr>
            <w:r w:rsidRPr="00567EE6">
              <w:t>As a minimum, assessment must satisfy applicable regulatory requir</w:t>
            </w:r>
            <w:r w:rsidRPr="00567EE6">
              <w:t>ements, which include requirements in the Standards for Registered Training Organisations current at the time of assessment.</w:t>
            </w:r>
          </w:p>
          <w:p w:rsidR="00000000" w:rsidRPr="00567EE6" w:rsidP="00567EE6">
            <w:pPr>
              <w:pStyle w:val="BodyText"/>
            </w:pPr>
            <w:r w:rsidRPr="00567EE6">
              <w:t>Assessment must occur in workplace operational situations where it is appropriate to do so; where this is not appropriate, assessme</w:t>
            </w:r>
            <w:r w:rsidRPr="00567EE6">
              <w:t>nt must occur in simulated workplace operational situations that replicate workplace conditions.</w:t>
            </w:r>
          </w:p>
          <w:p w:rsidR="00000000" w:rsidRPr="00567EE6" w:rsidP="00567EE6">
            <w:pPr>
              <w:pStyle w:val="BodyText"/>
            </w:pPr>
            <w:r w:rsidRPr="00567EE6">
              <w:t>Assessment processes and techniques must be appropriate to the language, literacy and numeracy requirements of the work being performed and the needs of the ca</w:t>
            </w:r>
            <w:r w:rsidRPr="00567EE6">
              <w:t>ndidate.</w:t>
            </w:r>
          </w:p>
          <w:p w:rsidR="00000000" w:rsidRPr="00567EE6" w:rsidP="00567EE6">
            <w:pPr>
              <w:pStyle w:val="BodyText"/>
            </w:pPr>
            <w:r w:rsidRPr="00567EE6">
              <w:t>Resources for assessment must include access to:</w:t>
            </w:r>
          </w:p>
          <w:p w:rsidR="00000000" w:rsidRPr="00567EE6" w:rsidP="00567EE6">
            <w:pPr>
              <w:pStyle w:val="ListBullet"/>
            </w:pPr>
            <w:r w:rsidRPr="00567EE6">
              <w:t>a range of relevant exercises, case studies and/or other simulations</w:t>
            </w:r>
          </w:p>
          <w:p w:rsidR="00000000" w:rsidRPr="00567EE6" w:rsidP="00567EE6">
            <w:pPr>
              <w:pStyle w:val="ListBullet"/>
            </w:pPr>
            <w:r w:rsidRPr="00567EE6">
              <w:t>relevant and appropriate materials, tools and equipment currently used in industry</w:t>
            </w:r>
          </w:p>
          <w:p w:rsidR="00000000" w:rsidRPr="00567EE6" w:rsidP="00567EE6">
            <w:pPr>
              <w:pStyle w:val="ListBullet"/>
            </w:pPr>
            <w:r w:rsidRPr="00567EE6">
              <w:t xml:space="preserve">applicable documentation including workplace </w:t>
            </w:r>
            <w:r w:rsidRPr="00567EE6">
              <w:t>procedures, protocols, regulations, codes of practice and operation manuals.</w:t>
            </w:r>
          </w:p>
        </w:tc>
      </w:tr>
    </w:tbl>
    <w:p w:rsidR="00000000" w:rsidRPr="00567EE6" w:rsidP="00567EE6">
      <w:pPr>
        <w:pStyle w:val="NoPaddingFontSize1"/>
      </w:pPr>
    </w:p>
    <w:p w:rsidR="00000000" w:rsidRPr="00567EE6" w:rsidP="00567EE6">
      <w:pPr>
        <w:pStyle w:val="AllowPageBreak"/>
      </w:pPr>
    </w:p>
    <w:p w:rsidR="00000000" w:rsidRPr="00567EE6" w:rsidP="00567EE6">
      <w:pPr>
        <w:pStyle w:val="Heading1"/>
      </w:pPr>
      <w:bookmarkStart w:id="15" w:name="O_958018"/>
      <w:bookmarkEnd w:id="15"/>
      <w:r w:rsidRPr="00567EE6">
        <w:t>Links</w:t>
      </w:r>
    </w:p>
    <w:p w:rsidR="00000000" w:rsidRPr="00567EE6" w:rsidP="00646FEF">
      <w:pPr>
        <w:pStyle w:val="BodyText"/>
      </w:pPr>
      <w:r w:rsidRPr="00567EE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F7599">
        <w:rPr>
          <w:rStyle w:val="Hyperlink"/>
        </w:rPr>
        <w:t>https://vetnet.gov.au/Pages/TrainingDocs.aspx?q=6bdbab1e-11ed-4bc9-9cba-9e1a55d4e4a9</w:t>
      </w:r>
      <w:r>
        <w:fldChar w:fldCharType="end"/>
      </w:r>
    </w:p>
    <w:p w:rsidR="00000000" w:rsidRPr="00567EE6" w:rsidP="00567EE6"/>
    <w:sectPr w:rsidSect="00567E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rsidRPr="00646FEF" w:rsidP="00646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FEF" w:rsidP="00567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6FEF" w:rsidP="00567E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46FEF" w:rsidP="00567E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rsidP="00567EE6">
    <w:pPr>
      <w:pStyle w:val="Footer"/>
      <w:framePr w:wrap="around"/>
    </w:pPr>
    <w:r>
      <w:fldChar w:fldCharType="begin"/>
    </w:r>
    <w:r>
      <w:instrText xml:space="preserve"> DOCPROPERTY  Subject  \* MERGEFORMAT </w:instrText>
    </w:r>
    <w:r>
      <w:fldChar w:fldCharType="separate"/>
    </w:r>
    <w:r w:rsidR="00646FEF">
      <w:t>Approved</w:t>
    </w:r>
    <w:r w:rsidR="00646FEF">
      <w:fldChar w:fldCharType="end"/>
    </w:r>
    <w:r>
      <w:tab/>
      <w:t xml:space="preserve">Page </w:t>
    </w:r>
    <w:r>
      <w:fldChar w:fldCharType="begin"/>
    </w:r>
    <w:r>
      <w:instrText xml:space="preserve"> PAGE  \* Arabic  \* MERGEFORMAT </w:instrText>
    </w:r>
    <w:r>
      <w:fldChar w:fldCharType="separate"/>
    </w:r>
    <w:r w:rsidR="00646FE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46FEF">
      <w:rPr>
        <w:noProof/>
      </w:rPr>
      <w:t>4</w:t>
    </w:r>
    <w:r>
      <w:rPr>
        <w:noProof/>
      </w:rPr>
      <w:fldChar w:fldCharType="end"/>
    </w:r>
  </w:p>
  <w:p w:rsidR="00567EE6" w:rsidP="00567EE6">
    <w:pPr>
      <w:pStyle w:val="Footer"/>
      <w:framePr w:wrap="around"/>
    </w:pPr>
    <w:r>
      <w:t xml:space="preserve">© Commonwealth of Australia, </w:t>
    </w:r>
    <w:r>
      <w:fldChar w:fldCharType="begin"/>
    </w:r>
    <w:r>
      <w:instrText xml:space="preserve"> DATE  \@ "yyyy"  \* MERGEFORMAT </w:instrText>
    </w:r>
    <w:r>
      <w:fldChar w:fldCharType="separate"/>
    </w:r>
    <w:r w:rsidR="00646FEF">
      <w:rPr>
        <w:noProof/>
      </w:rPr>
      <w:t>2025</w:t>
    </w:r>
    <w:r>
      <w:fldChar w:fldCharType="end"/>
    </w:r>
    <w:r>
      <w:tab/>
    </w:r>
    <w:r>
      <w:fldChar w:fldCharType="begin"/>
    </w:r>
    <w:r>
      <w:instrText xml:space="preserve"> DOCPROPERTY  Author  \* MERGEFORMAT </w:instrText>
    </w:r>
    <w:r>
      <w:fldChar w:fldCharType="separate"/>
    </w:r>
    <w:r w:rsidR="00646FEF">
      <w:t>Public Skills Australia</w:t>
    </w:r>
    <w:r w:rsidR="00646FEF">
      <w:fldChar w:fldCharType="end"/>
    </w:r>
  </w:p>
  <w:p w:rsidR="00567EE6" w:rsidP="00567E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F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EE6" w:rsidRPr="00646FEF" w:rsidP="00646F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FEF" w:rsidRPr="002D2AF8" w:rsidP="00567EE6">
    <w:pPr>
      <w:pStyle w:val="Header"/>
      <w:framePr w:wrap="around"/>
    </w:pPr>
    <w:r>
      <w:fldChar w:fldCharType="begin"/>
    </w:r>
    <w:r>
      <w:instrText xml:space="preserve"> TITLE   \* MERGEFORMAT </w:instrText>
    </w:r>
    <w:r>
      <w:fldChar w:fldCharType="separate"/>
    </w:r>
    <w:r>
      <w:t>DEFGEN311 Implement and manage technical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46FEF" w:rsidP="00567E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EE6" w:rsidRPr="002D2AF8" w:rsidP="00567EE6">
    <w:pPr>
      <w:pStyle w:val="Header"/>
      <w:framePr w:wrap="around"/>
    </w:pPr>
    <w:r>
      <w:fldChar w:fldCharType="begin"/>
    </w:r>
    <w:r>
      <w:instrText xml:space="preserve"> TITLE   \* MERGEFORMAT </w:instrText>
    </w:r>
    <w:r>
      <w:fldChar w:fldCharType="separate"/>
    </w:r>
    <w:r w:rsidR="00646FEF">
      <w:t>DEFGEN311 Implement and manage technical risk management</w:t>
    </w:r>
    <w:r w:rsidR="00646FEF">
      <w:fldChar w:fldCharType="end"/>
    </w:r>
    <w:r>
      <w:tab/>
      <w:t xml:space="preserve">Date this document was generated: </w:t>
    </w:r>
    <w:r>
      <w:fldChar w:fldCharType="begin"/>
    </w:r>
    <w:r>
      <w:instrText xml:space="preserve"> CREATEDATE  \@ "d MMMM yyyy"  \* MERGEFORMAT </w:instrText>
    </w:r>
    <w:r>
      <w:fldChar w:fldCharType="separate"/>
    </w:r>
    <w:r w:rsidR="00646FEF">
      <w:rPr>
        <w:noProof/>
      </w:rPr>
      <w:t>2 March 2025</w:t>
    </w:r>
    <w:r>
      <w:fldChar w:fldCharType="end"/>
    </w:r>
  </w:p>
  <w:p w:rsidR="00567EE6" w:rsidP="00567E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8CFA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068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E4B4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E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EE6"/>
    <w:pPr>
      <w:spacing w:before="360" w:after="60"/>
      <w:outlineLvl w:val="0"/>
    </w:pPr>
    <w:rPr>
      <w:sz w:val="32"/>
    </w:rPr>
  </w:style>
  <w:style w:type="paragraph" w:styleId="Heading2">
    <w:name w:val="heading 2"/>
    <w:basedOn w:val="HeadingBase"/>
    <w:next w:val="BodyText"/>
    <w:link w:val="Heading2Char"/>
    <w:qFormat/>
    <w:rsid w:val="00567EE6"/>
    <w:pPr>
      <w:keepLines/>
      <w:spacing w:before="240" w:after="120"/>
      <w:outlineLvl w:val="1"/>
    </w:pPr>
    <w:rPr>
      <w:sz w:val="28"/>
      <w:szCs w:val="40"/>
    </w:rPr>
  </w:style>
  <w:style w:type="paragraph" w:styleId="Heading3">
    <w:name w:val="heading 3"/>
    <w:basedOn w:val="HeadingBase"/>
    <w:next w:val="BodyText"/>
    <w:link w:val="Heading3Char"/>
    <w:qFormat/>
    <w:rsid w:val="00567EE6"/>
    <w:pPr>
      <w:spacing w:before="180" w:after="120"/>
      <w:outlineLvl w:val="2"/>
    </w:pPr>
    <w:rPr>
      <w:spacing w:val="-10"/>
      <w:kern w:val="32"/>
    </w:rPr>
  </w:style>
  <w:style w:type="paragraph" w:styleId="Heading4">
    <w:name w:val="heading 4"/>
    <w:basedOn w:val="HeadingBase"/>
    <w:next w:val="BodyText"/>
    <w:link w:val="Heading4Char"/>
    <w:qFormat/>
    <w:rsid w:val="00567EE6"/>
    <w:pPr>
      <w:spacing w:before="160" w:after="120"/>
      <w:outlineLvl w:val="3"/>
    </w:pPr>
    <w:rPr>
      <w:sz w:val="22"/>
    </w:rPr>
  </w:style>
  <w:style w:type="paragraph" w:styleId="Heading5">
    <w:name w:val="heading 5"/>
    <w:basedOn w:val="HeadingBase"/>
    <w:next w:val="Normal"/>
    <w:link w:val="Heading5Char"/>
    <w:qFormat/>
    <w:rsid w:val="00567EE6"/>
    <w:pPr>
      <w:spacing w:before="80"/>
      <w:outlineLvl w:val="4"/>
    </w:pPr>
    <w:rPr>
      <w:color w:val="918585"/>
      <w:sz w:val="20"/>
    </w:rPr>
  </w:style>
  <w:style w:type="paragraph" w:styleId="Heading6">
    <w:name w:val="heading 6"/>
    <w:basedOn w:val="HeadingBase"/>
    <w:next w:val="Normal"/>
    <w:link w:val="Heading6Char"/>
    <w:qFormat/>
    <w:rsid w:val="00567EE6"/>
    <w:pPr>
      <w:spacing w:before="60"/>
      <w:outlineLvl w:val="5"/>
    </w:pPr>
    <w:rPr>
      <w:color w:val="918585"/>
      <w:sz w:val="20"/>
    </w:rPr>
  </w:style>
  <w:style w:type="paragraph" w:styleId="Heading7">
    <w:name w:val="heading 7"/>
    <w:basedOn w:val="Normal"/>
    <w:next w:val="Normal"/>
    <w:link w:val="Heading7Char"/>
    <w:qFormat/>
    <w:rsid w:val="00567EE6"/>
    <w:pPr>
      <w:ind w:left="720"/>
      <w:outlineLvl w:val="6"/>
    </w:pPr>
    <w:rPr>
      <w:i/>
    </w:rPr>
  </w:style>
  <w:style w:type="paragraph" w:styleId="Heading8">
    <w:name w:val="heading 8"/>
    <w:basedOn w:val="Normal"/>
    <w:next w:val="Normal"/>
    <w:link w:val="Heading8Char"/>
    <w:qFormat/>
    <w:rsid w:val="00567EE6"/>
    <w:pPr>
      <w:ind w:left="720"/>
      <w:outlineLvl w:val="7"/>
    </w:pPr>
    <w:rPr>
      <w:i/>
    </w:rPr>
  </w:style>
  <w:style w:type="paragraph" w:styleId="Heading9">
    <w:name w:val="heading 9"/>
    <w:basedOn w:val="Normal"/>
    <w:next w:val="Normal"/>
    <w:link w:val="Heading9Char"/>
    <w:qFormat/>
    <w:rsid w:val="00567EE6"/>
    <w:pPr>
      <w:ind w:left="720"/>
      <w:outlineLvl w:val="8"/>
    </w:pPr>
    <w:rPr>
      <w:i/>
    </w:rPr>
  </w:style>
  <w:style w:type="character" w:default="1" w:styleId="DefaultParagraphFont">
    <w:name w:val="Default Paragraph Font"/>
    <w:uiPriority w:val="1"/>
    <w:unhideWhenUsed/>
    <w:rsid w:val="00567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EE6"/>
  </w:style>
  <w:style w:type="character" w:customStyle="1" w:styleId="Heading1Char">
    <w:name w:val="Heading 1 Char"/>
    <w:basedOn w:val="DefaultParagraphFont"/>
    <w:link w:val="Heading1"/>
    <w:rsid w:val="00567EE6"/>
    <w:rPr>
      <w:rFonts w:ascii="Times New Roman" w:eastAsia="Times New Roman" w:hAnsi="Times New Roman" w:cs="Times New Roman"/>
      <w:b/>
      <w:sz w:val="32"/>
      <w:szCs w:val="20"/>
      <w:lang w:eastAsia="en-US"/>
    </w:rPr>
  </w:style>
  <w:style w:type="paragraph" w:styleId="BodyText">
    <w:name w:val="Body Text"/>
    <w:basedOn w:val="Normal"/>
    <w:link w:val="BodyTextChar"/>
    <w:rsid w:val="00567E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EE6"/>
    <w:rPr>
      <w:rFonts w:ascii="Times New Roman" w:eastAsia="Times New Roman" w:hAnsi="Times New Roman" w:cs="Times New Roman"/>
      <w:sz w:val="24"/>
      <w:lang w:eastAsia="en-US"/>
    </w:rPr>
  </w:style>
  <w:style w:type="paragraph" w:styleId="ListBullet">
    <w:name w:val="List Bullet"/>
    <w:basedOn w:val="List"/>
    <w:rsid w:val="00567EE6"/>
    <w:pPr>
      <w:numPr>
        <w:numId w:val="12"/>
      </w:numPr>
      <w:tabs>
        <w:tab w:val="clear" w:pos="340"/>
      </w:tabs>
      <w:spacing w:before="40" w:after="40"/>
    </w:pPr>
  </w:style>
  <w:style w:type="character" w:customStyle="1" w:styleId="SpecialBold">
    <w:name w:val="Special Bold"/>
    <w:basedOn w:val="DefaultParagraphFont"/>
    <w:rsid w:val="00567EE6"/>
    <w:rPr>
      <w:b/>
      <w:spacing w:val="0"/>
    </w:rPr>
  </w:style>
  <w:style w:type="paragraph" w:styleId="ListBullet2">
    <w:name w:val="List Bullet 2"/>
    <w:basedOn w:val="List2"/>
    <w:rsid w:val="00567EE6"/>
    <w:pPr>
      <w:numPr>
        <w:numId w:val="13"/>
      </w:numPr>
      <w:tabs>
        <w:tab w:val="clear" w:pos="680"/>
      </w:tabs>
    </w:pPr>
  </w:style>
  <w:style w:type="paragraph" w:customStyle="1" w:styleId="SuperHeading">
    <w:name w:val="SuperHeading"/>
    <w:basedOn w:val="Normal"/>
    <w:rsid w:val="00567EE6"/>
    <w:pPr>
      <w:spacing w:before="240" w:after="120"/>
      <w:outlineLvl w:val="0"/>
    </w:pPr>
    <w:rPr>
      <w:rFonts w:ascii="Times New Roman" w:hAnsi="Times New Roman"/>
      <w:b/>
      <w:sz w:val="32"/>
    </w:rPr>
  </w:style>
  <w:style w:type="paragraph" w:customStyle="1" w:styleId="AllowPageBreak">
    <w:name w:val="AllowPageBreak"/>
    <w:rsid w:val="00567EE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7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E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E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EE6"/>
    <w:rPr>
      <w:rFonts w:ascii="Courier New" w:eastAsia="Times New Roman" w:hAnsi="Courier New" w:cs="Times New Roman"/>
      <w:i/>
      <w:szCs w:val="20"/>
      <w:lang w:eastAsia="en-US"/>
    </w:rPr>
  </w:style>
  <w:style w:type="paragraph" w:customStyle="1" w:styleId="HeadingBase">
    <w:name w:val="Heading Base"/>
    <w:rsid w:val="00567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EE6"/>
    <w:pPr>
      <w:tabs>
        <w:tab w:val="right" w:leader="dot" w:pos="9072"/>
      </w:tabs>
      <w:ind w:left="567"/>
    </w:pPr>
    <w:rPr>
      <w:szCs w:val="22"/>
    </w:rPr>
  </w:style>
  <w:style w:type="paragraph" w:customStyle="1" w:styleId="TOCBase">
    <w:name w:val="TOC Base"/>
    <w:rsid w:val="00567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EE6"/>
    <w:pPr>
      <w:tabs>
        <w:tab w:val="right" w:leader="dot" w:pos="9072"/>
      </w:tabs>
      <w:spacing w:before="40" w:after="40"/>
      <w:ind w:left="284"/>
    </w:pPr>
    <w:rPr>
      <w:rFonts w:ascii="Times New Roman" w:hAnsi="Times New Roman"/>
    </w:rPr>
  </w:style>
  <w:style w:type="paragraph" w:styleId="TOC1">
    <w:name w:val="toc 1"/>
    <w:basedOn w:val="TOCBase"/>
    <w:next w:val="Normal"/>
    <w:rsid w:val="00567E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EE6"/>
    <w:rPr>
      <w:rFonts w:ascii="Times New Roman" w:eastAsia="Times New Roman" w:hAnsi="Times New Roman" w:cs="Times New Roman"/>
      <w:sz w:val="16"/>
      <w:lang w:eastAsia="en-US"/>
    </w:rPr>
  </w:style>
  <w:style w:type="paragraph" w:styleId="Title">
    <w:name w:val="Title"/>
    <w:basedOn w:val="HeadingBase"/>
    <w:link w:val="TitleChar"/>
    <w:qFormat/>
    <w:rsid w:val="00567EE6"/>
    <w:pPr>
      <w:spacing w:before="5040"/>
      <w:jc w:val="center"/>
    </w:pPr>
    <w:rPr>
      <w:sz w:val="48"/>
      <w:szCs w:val="72"/>
      <w:lang w:val="en-US"/>
    </w:rPr>
  </w:style>
  <w:style w:type="character" w:customStyle="1" w:styleId="TitleChar">
    <w:name w:val="Title Char"/>
    <w:basedOn w:val="DefaultParagraphFont"/>
    <w:link w:val="Title"/>
    <w:rsid w:val="00567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EE6"/>
    <w:pPr>
      <w:tabs>
        <w:tab w:val="left" w:pos="3600"/>
        <w:tab w:val="left" w:pos="3958"/>
      </w:tabs>
    </w:pPr>
  </w:style>
  <w:style w:type="paragraph" w:styleId="List">
    <w:name w:val="List"/>
    <w:basedOn w:val="BodyText"/>
    <w:next w:val="BodyText"/>
    <w:rsid w:val="00567EE6"/>
    <w:pPr>
      <w:tabs>
        <w:tab w:val="left" w:pos="340"/>
      </w:tabs>
      <w:spacing w:before="60" w:after="60"/>
      <w:ind w:left="340" w:hanging="340"/>
    </w:pPr>
  </w:style>
  <w:style w:type="paragraph" w:customStyle="1" w:styleId="Note">
    <w:name w:val="Note"/>
    <w:basedOn w:val="BodyText"/>
    <w:rsid w:val="00567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EE6"/>
    <w:pPr>
      <w:framePr w:wrap="auto" w:hAnchor="text" w:y="6049"/>
    </w:pPr>
    <w:rPr>
      <w:color w:val="000000"/>
      <w:sz w:val="40"/>
    </w:rPr>
  </w:style>
  <w:style w:type="paragraph" w:customStyle="1" w:styleId="TOCTitle">
    <w:name w:val="TOCTitle"/>
    <w:basedOn w:val="Heading1"/>
    <w:rsid w:val="00567EE6"/>
    <w:pPr>
      <w:spacing w:after="240"/>
      <w:jc w:val="center"/>
      <w:outlineLvl w:val="9"/>
    </w:pPr>
    <w:rPr>
      <w:caps/>
    </w:rPr>
  </w:style>
  <w:style w:type="paragraph" w:customStyle="1" w:styleId="Version">
    <w:name w:val="Version"/>
    <w:rsid w:val="00567E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EE6"/>
    <w:pPr>
      <w:keepNext w:val="0"/>
      <w:tabs>
        <w:tab w:val="right" w:pos="4176"/>
      </w:tabs>
      <w:ind w:left="198" w:hanging="198"/>
    </w:pPr>
    <w:rPr>
      <w:rFonts w:ascii="Garamond" w:hAnsi="Garamond"/>
    </w:rPr>
  </w:style>
  <w:style w:type="paragraph" w:styleId="IndexHeading">
    <w:name w:val="index heading"/>
    <w:basedOn w:val="Normal"/>
    <w:next w:val="Index1"/>
    <w:semiHidden/>
    <w:rsid w:val="00567EE6"/>
    <w:pPr>
      <w:spacing w:before="120" w:after="120"/>
    </w:pPr>
    <w:rPr>
      <w:rFonts w:ascii="Arial" w:hAnsi="Arial"/>
      <w:b/>
      <w:color w:val="918585"/>
      <w:sz w:val="24"/>
    </w:rPr>
  </w:style>
  <w:style w:type="paragraph" w:styleId="Header">
    <w:name w:val="header"/>
    <w:basedOn w:val="Normal"/>
    <w:link w:val="HeaderChar"/>
    <w:rsid w:val="00567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EE6"/>
    <w:rPr>
      <w:rFonts w:ascii="Times New Roman" w:eastAsia="Times New Roman" w:hAnsi="Times New Roman" w:cs="Times New Roman"/>
      <w:sz w:val="16"/>
      <w:szCs w:val="20"/>
      <w:lang w:val="en-GB" w:eastAsia="en-US"/>
    </w:rPr>
  </w:style>
  <w:style w:type="paragraph" w:customStyle="1" w:styleId="Chapter">
    <w:name w:val="Chapter"/>
    <w:basedOn w:val="Normal"/>
    <w:rsid w:val="00567EE6"/>
    <w:pPr>
      <w:spacing w:before="240"/>
    </w:pPr>
    <w:rPr>
      <w:rFonts w:ascii="Times New Roman" w:hAnsi="Times New Roman"/>
      <w:smallCaps/>
      <w:spacing w:val="80"/>
      <w:sz w:val="28"/>
    </w:rPr>
  </w:style>
  <w:style w:type="paragraph" w:customStyle="1" w:styleId="InChapter">
    <w:name w:val="InChapter"/>
    <w:basedOn w:val="Heading3"/>
    <w:rsid w:val="00567EE6"/>
    <w:pPr>
      <w:spacing w:after="240"/>
      <w:outlineLvl w:val="9"/>
    </w:pPr>
    <w:rPr>
      <w:noProof/>
    </w:rPr>
  </w:style>
  <w:style w:type="paragraph" w:styleId="Index2">
    <w:name w:val="index 2"/>
    <w:basedOn w:val="Normal"/>
    <w:next w:val="Normal"/>
    <w:semiHidden/>
    <w:rsid w:val="00567EE6"/>
    <w:pPr>
      <w:tabs>
        <w:tab w:val="right" w:pos="4176"/>
      </w:tabs>
      <w:ind w:left="568" w:hanging="284"/>
    </w:pPr>
    <w:rPr>
      <w:rFonts w:ascii="Garamond" w:hAnsi="Garamond"/>
    </w:rPr>
  </w:style>
  <w:style w:type="paragraph" w:customStyle="1" w:styleId="Byline">
    <w:name w:val="Byline"/>
    <w:rsid w:val="00567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EE6"/>
    <w:pPr>
      <w:tabs>
        <w:tab w:val="clear" w:pos="3600"/>
        <w:tab w:val="clear" w:pos="3958"/>
      </w:tabs>
      <w:jc w:val="right"/>
    </w:pPr>
  </w:style>
  <w:style w:type="character" w:styleId="Emphasis">
    <w:name w:val="Emphasis"/>
    <w:basedOn w:val="DefaultParagraphFont"/>
    <w:qFormat/>
    <w:rsid w:val="00567EE6"/>
    <w:rPr>
      <w:i/>
    </w:rPr>
  </w:style>
  <w:style w:type="paragraph" w:styleId="Caption">
    <w:name w:val="caption"/>
    <w:basedOn w:val="BodyText"/>
    <w:next w:val="Normal"/>
    <w:qFormat/>
    <w:rsid w:val="00567EE6"/>
    <w:pPr>
      <w:framePr w:w="2268" w:hSpace="181" w:vSpace="181" w:wrap="around" w:vAnchor="text" w:hAnchor="page" w:x="1135" w:y="285" w:anchorLock="1"/>
    </w:pPr>
    <w:rPr>
      <w:i/>
    </w:rPr>
  </w:style>
  <w:style w:type="paragraph" w:customStyle="1" w:styleId="MiniTOCTitle">
    <w:name w:val="MiniTOCTitle"/>
    <w:basedOn w:val="Heading4"/>
    <w:rsid w:val="00567EE6"/>
    <w:pPr>
      <w:spacing w:before="240"/>
      <w:outlineLvl w:val="9"/>
    </w:pPr>
    <w:rPr>
      <w:noProof/>
      <w:sz w:val="24"/>
    </w:rPr>
  </w:style>
  <w:style w:type="paragraph" w:customStyle="1" w:styleId="MiniTOCItem">
    <w:name w:val="MiniTOCItem"/>
    <w:basedOn w:val="ListBullet"/>
    <w:rsid w:val="00567EE6"/>
    <w:pPr>
      <w:numPr>
        <w:numId w:val="0"/>
      </w:numPr>
      <w:tabs>
        <w:tab w:val="right" w:leader="dot" w:pos="6521"/>
      </w:tabs>
      <w:spacing w:before="0" w:after="0"/>
    </w:pPr>
  </w:style>
  <w:style w:type="paragraph" w:customStyle="1" w:styleId="TOFTitle">
    <w:name w:val="TOFTitle"/>
    <w:basedOn w:val="TOCTitle"/>
    <w:rsid w:val="00567EE6"/>
  </w:style>
  <w:style w:type="paragraph" w:styleId="TableofFigures">
    <w:name w:val="table of figures"/>
    <w:basedOn w:val="Normal"/>
    <w:next w:val="Normal"/>
    <w:semiHidden/>
    <w:rsid w:val="00567EE6"/>
    <w:pPr>
      <w:tabs>
        <w:tab w:val="right" w:leader="dot" w:pos="9072"/>
      </w:tabs>
      <w:ind w:left="970" w:hanging="403"/>
    </w:pPr>
    <w:rPr>
      <w:rFonts w:ascii="Times New Roman" w:hAnsi="Times New Roman"/>
      <w:b/>
    </w:rPr>
  </w:style>
  <w:style w:type="paragraph" w:styleId="ListNumber">
    <w:name w:val="List Number"/>
    <w:basedOn w:val="List"/>
    <w:rsid w:val="00567EE6"/>
    <w:pPr>
      <w:numPr>
        <w:numId w:val="15"/>
      </w:numPr>
      <w:tabs>
        <w:tab w:val="clear" w:pos="340"/>
      </w:tabs>
    </w:pPr>
  </w:style>
  <w:style w:type="character" w:customStyle="1" w:styleId="WingdingSymbols">
    <w:name w:val="Wingding Symbols"/>
    <w:rsid w:val="00567EE6"/>
    <w:rPr>
      <w:rFonts w:ascii="Wingdings" w:hAnsi="Wingdings"/>
    </w:rPr>
  </w:style>
  <w:style w:type="paragraph" w:customStyle="1" w:styleId="TableHeading">
    <w:name w:val="Table Heading"/>
    <w:basedOn w:val="HeadingBase"/>
    <w:rsid w:val="00567EE6"/>
    <w:pPr>
      <w:keepLines/>
      <w:pBdr>
        <w:bottom w:val="single" w:sz="6" w:space="1" w:color="918585"/>
      </w:pBdr>
      <w:spacing w:before="240"/>
    </w:pPr>
  </w:style>
  <w:style w:type="character" w:customStyle="1" w:styleId="HotSpot">
    <w:name w:val="HotSpot"/>
    <w:rsid w:val="00567EE6"/>
    <w:rPr>
      <w:color w:val="0033CC"/>
      <w:u w:val="none"/>
    </w:rPr>
  </w:style>
  <w:style w:type="paragraph" w:customStyle="1" w:styleId="BodyTextRight">
    <w:name w:val="Body Text Right"/>
    <w:basedOn w:val="BodyText"/>
    <w:rsid w:val="00567EE6"/>
    <w:pPr>
      <w:spacing w:before="0" w:after="0"/>
      <w:jc w:val="right"/>
    </w:pPr>
  </w:style>
  <w:style w:type="paragraph" w:styleId="Index3">
    <w:name w:val="index 3"/>
    <w:basedOn w:val="ListNumber2"/>
    <w:next w:val="Normal"/>
    <w:semiHidden/>
    <w:rsid w:val="00567EE6"/>
    <w:pPr>
      <w:numPr>
        <w:numId w:val="0"/>
      </w:numPr>
      <w:tabs>
        <w:tab w:val="right" w:leader="dot" w:pos="4176"/>
      </w:tabs>
    </w:pPr>
  </w:style>
  <w:style w:type="paragraph" w:styleId="ListNumber2">
    <w:name w:val="List Number 2"/>
    <w:basedOn w:val="List2"/>
    <w:rsid w:val="00567EE6"/>
    <w:pPr>
      <w:numPr>
        <w:numId w:val="10"/>
      </w:numPr>
      <w:tabs>
        <w:tab w:val="clear" w:pos="1060"/>
      </w:tabs>
    </w:pPr>
  </w:style>
  <w:style w:type="paragraph" w:customStyle="1" w:styleId="MarginNote">
    <w:name w:val="Margin Note"/>
    <w:basedOn w:val="BodyText"/>
    <w:rsid w:val="00567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E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EE6"/>
    <w:rPr>
      <w:sz w:val="32"/>
    </w:rPr>
  </w:style>
  <w:style w:type="paragraph" w:customStyle="1" w:styleId="HeadingProcedure">
    <w:name w:val="Heading Procedure"/>
    <w:basedOn w:val="HeadingBase"/>
    <w:next w:val="Normal"/>
    <w:rsid w:val="00567EE6"/>
    <w:pPr>
      <w:tabs>
        <w:tab w:val="left" w:pos="0"/>
      </w:tabs>
      <w:spacing w:before="120" w:after="60"/>
    </w:pPr>
    <w:rPr>
      <w:i/>
      <w:color w:val="918585"/>
      <w:sz w:val="22"/>
    </w:rPr>
  </w:style>
  <w:style w:type="paragraph" w:customStyle="1" w:styleId="TableBodyText">
    <w:name w:val="Table Body Text"/>
    <w:basedOn w:val="BodyText"/>
    <w:rsid w:val="00567EE6"/>
    <w:pPr>
      <w:spacing w:before="60" w:after="60"/>
    </w:pPr>
  </w:style>
  <w:style w:type="paragraph" w:styleId="ListContinue">
    <w:name w:val="List Continue"/>
    <w:basedOn w:val="List"/>
    <w:rsid w:val="00567EE6"/>
    <w:pPr>
      <w:ind w:firstLine="0"/>
    </w:pPr>
  </w:style>
  <w:style w:type="paragraph" w:customStyle="1" w:styleId="ListNote">
    <w:name w:val="List Note"/>
    <w:basedOn w:val="List"/>
    <w:rsid w:val="00567EE6"/>
    <w:pPr>
      <w:pBdr>
        <w:top w:val="single" w:sz="6" w:space="2" w:color="918585"/>
        <w:bottom w:val="single" w:sz="6" w:space="2" w:color="918585"/>
      </w:pBdr>
      <w:tabs>
        <w:tab w:val="left" w:pos="1021"/>
      </w:tabs>
      <w:ind w:firstLine="0"/>
    </w:pPr>
  </w:style>
  <w:style w:type="paragraph" w:customStyle="1" w:styleId="Warning">
    <w:name w:val="Warning"/>
    <w:basedOn w:val="BodyText"/>
    <w:rsid w:val="00567EE6"/>
    <w:pPr>
      <w:shd w:val="clear" w:color="auto" w:fill="D9D9D9"/>
      <w:tabs>
        <w:tab w:val="left" w:pos="992"/>
      </w:tabs>
      <w:ind w:left="119" w:right="119"/>
    </w:pPr>
    <w:rPr>
      <w:sz w:val="20"/>
    </w:rPr>
  </w:style>
  <w:style w:type="paragraph" w:customStyle="1" w:styleId="MarginIcons">
    <w:name w:val="Margin Icons"/>
    <w:basedOn w:val="BodyText"/>
    <w:rsid w:val="00567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EE6"/>
    <w:rPr>
      <w:rFonts w:ascii="Courier New" w:hAnsi="Courier New"/>
    </w:rPr>
  </w:style>
  <w:style w:type="paragraph" w:customStyle="1" w:styleId="NoteBullet">
    <w:name w:val="Note Bullet"/>
    <w:basedOn w:val="Note"/>
    <w:rsid w:val="00567EE6"/>
    <w:pPr>
      <w:tabs>
        <w:tab w:val="clear" w:pos="680"/>
      </w:tabs>
      <w:spacing w:before="60" w:after="60"/>
    </w:pPr>
  </w:style>
  <w:style w:type="paragraph" w:customStyle="1" w:styleId="SubHeading2">
    <w:name w:val="SubHeading2"/>
    <w:basedOn w:val="HeadingBase"/>
    <w:rsid w:val="00567EE6"/>
    <w:pPr>
      <w:spacing w:before="240" w:after="60"/>
    </w:pPr>
    <w:rPr>
      <w:sz w:val="20"/>
    </w:rPr>
  </w:style>
  <w:style w:type="paragraph" w:customStyle="1" w:styleId="SubHeading1">
    <w:name w:val="SubHeading1"/>
    <w:basedOn w:val="HeadingBase"/>
    <w:rsid w:val="00567EE6"/>
    <w:pPr>
      <w:spacing w:before="240" w:after="60"/>
    </w:pPr>
    <w:rPr>
      <w:color w:val="918585"/>
      <w:sz w:val="22"/>
    </w:rPr>
  </w:style>
  <w:style w:type="paragraph" w:customStyle="1" w:styleId="SideHeading">
    <w:name w:val="Side Heading"/>
    <w:basedOn w:val="HeadingBase"/>
    <w:rsid w:val="00567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EE6"/>
    <w:pPr>
      <w:tabs>
        <w:tab w:val="num" w:pos="360"/>
      </w:tabs>
    </w:pPr>
  </w:style>
  <w:style w:type="paragraph" w:styleId="PlainText">
    <w:name w:val="Plain Text"/>
    <w:basedOn w:val="Normal"/>
    <w:link w:val="PlainTextChar"/>
    <w:rsid w:val="00567EE6"/>
    <w:rPr>
      <w:sz w:val="20"/>
    </w:rPr>
  </w:style>
  <w:style w:type="character" w:customStyle="1" w:styleId="PlainTextChar">
    <w:name w:val="Plain Text Char"/>
    <w:basedOn w:val="DefaultParagraphFont"/>
    <w:link w:val="PlainText"/>
    <w:rsid w:val="00567EE6"/>
    <w:rPr>
      <w:rFonts w:ascii="Courier New" w:eastAsia="Times New Roman" w:hAnsi="Courier New" w:cs="Times New Roman"/>
      <w:sz w:val="20"/>
      <w:szCs w:val="20"/>
      <w:lang w:eastAsia="en-US"/>
    </w:rPr>
  </w:style>
  <w:style w:type="character" w:customStyle="1" w:styleId="MenuOption">
    <w:name w:val="Menu Option"/>
    <w:basedOn w:val="DefaultParagraphFont"/>
    <w:rsid w:val="00567EE6"/>
    <w:rPr>
      <w:b/>
      <w:smallCaps/>
    </w:rPr>
  </w:style>
  <w:style w:type="paragraph" w:customStyle="1" w:styleId="TableListNumber">
    <w:name w:val="Table List Number"/>
    <w:basedOn w:val="ListNumber"/>
    <w:rsid w:val="00567EE6"/>
    <w:pPr>
      <w:numPr>
        <w:numId w:val="0"/>
      </w:numPr>
    </w:pPr>
  </w:style>
  <w:style w:type="paragraph" w:styleId="TOC4">
    <w:name w:val="toc 4"/>
    <w:basedOn w:val="TOCBase"/>
    <w:next w:val="Normal"/>
    <w:semiHidden/>
    <w:rsid w:val="00567EE6"/>
    <w:pPr>
      <w:tabs>
        <w:tab w:val="right" w:leader="dot" w:pos="9071"/>
      </w:tabs>
      <w:ind w:left="1701"/>
    </w:pPr>
  </w:style>
  <w:style w:type="paragraph" w:customStyle="1" w:styleId="ListAlpha">
    <w:name w:val="List Alpha"/>
    <w:basedOn w:val="List"/>
    <w:rsid w:val="00567EE6"/>
    <w:pPr>
      <w:numPr>
        <w:numId w:val="9"/>
      </w:numPr>
    </w:pPr>
  </w:style>
  <w:style w:type="paragraph" w:customStyle="1" w:styleId="ListAlpha2">
    <w:name w:val="List Alpha 2"/>
    <w:basedOn w:val="List2"/>
    <w:rsid w:val="00567EE6"/>
    <w:pPr>
      <w:numPr>
        <w:numId w:val="8"/>
      </w:numPr>
    </w:pPr>
  </w:style>
  <w:style w:type="paragraph" w:styleId="List2">
    <w:name w:val="List 2"/>
    <w:basedOn w:val="BodyText"/>
    <w:rsid w:val="00567EE6"/>
    <w:pPr>
      <w:tabs>
        <w:tab w:val="left" w:pos="680"/>
      </w:tabs>
      <w:spacing w:before="60" w:after="60"/>
      <w:ind w:left="680" w:hanging="340"/>
    </w:pPr>
  </w:style>
  <w:style w:type="paragraph" w:styleId="List3">
    <w:name w:val="List 3"/>
    <w:basedOn w:val="BodyText"/>
    <w:rsid w:val="00567EE6"/>
    <w:pPr>
      <w:tabs>
        <w:tab w:val="left" w:pos="1021"/>
      </w:tabs>
      <w:spacing w:before="60" w:after="60"/>
      <w:ind w:left="1020" w:hanging="340"/>
    </w:pPr>
  </w:style>
  <w:style w:type="paragraph" w:styleId="List4">
    <w:name w:val="List 4"/>
    <w:basedOn w:val="BodyText"/>
    <w:rsid w:val="00567EE6"/>
    <w:pPr>
      <w:tabs>
        <w:tab w:val="left" w:pos="1361"/>
      </w:tabs>
      <w:spacing w:before="60" w:after="60"/>
      <w:ind w:left="1361" w:hanging="340"/>
    </w:pPr>
  </w:style>
  <w:style w:type="paragraph" w:styleId="List5">
    <w:name w:val="List 5"/>
    <w:basedOn w:val="BodyText"/>
    <w:rsid w:val="00567EE6"/>
    <w:pPr>
      <w:tabs>
        <w:tab w:val="left" w:pos="1701"/>
      </w:tabs>
      <w:spacing w:before="60" w:after="60"/>
      <w:ind w:left="1701" w:hanging="340"/>
    </w:pPr>
  </w:style>
  <w:style w:type="paragraph" w:styleId="ListBullet3">
    <w:name w:val="List Bullet 3"/>
    <w:basedOn w:val="List3"/>
    <w:rsid w:val="00567EE6"/>
    <w:pPr>
      <w:numPr>
        <w:numId w:val="14"/>
      </w:numPr>
      <w:tabs>
        <w:tab w:val="clear" w:pos="1021"/>
      </w:tabs>
      <w:ind w:left="1037" w:hanging="357"/>
    </w:pPr>
  </w:style>
  <w:style w:type="paragraph" w:styleId="ListBullet4">
    <w:name w:val="List Bullet 4"/>
    <w:basedOn w:val="List4"/>
    <w:rsid w:val="00567EE6"/>
    <w:pPr>
      <w:numPr>
        <w:numId w:val="3"/>
      </w:numPr>
      <w:tabs>
        <w:tab w:val="clear" w:pos="1361"/>
      </w:tabs>
    </w:pPr>
  </w:style>
  <w:style w:type="paragraph" w:styleId="ListBullet5">
    <w:name w:val="List Bullet 5"/>
    <w:basedOn w:val="List5"/>
    <w:rsid w:val="00567EE6"/>
    <w:pPr>
      <w:numPr>
        <w:numId w:val="4"/>
      </w:numPr>
    </w:pPr>
  </w:style>
  <w:style w:type="paragraph" w:styleId="ListContinue2">
    <w:name w:val="List Continue 2"/>
    <w:basedOn w:val="List2"/>
    <w:rsid w:val="00567EE6"/>
    <w:pPr>
      <w:ind w:firstLine="0"/>
    </w:pPr>
  </w:style>
  <w:style w:type="paragraph" w:styleId="ListContinue3">
    <w:name w:val="List Continue 3"/>
    <w:basedOn w:val="List3"/>
    <w:rsid w:val="00567EE6"/>
    <w:pPr>
      <w:ind w:left="1021" w:firstLine="0"/>
    </w:pPr>
  </w:style>
  <w:style w:type="paragraph" w:styleId="ListContinue4">
    <w:name w:val="List Continue 4"/>
    <w:basedOn w:val="List4"/>
    <w:rsid w:val="00567EE6"/>
    <w:pPr>
      <w:ind w:firstLine="0"/>
    </w:pPr>
  </w:style>
  <w:style w:type="paragraph" w:styleId="ListContinue5">
    <w:name w:val="List Continue 5"/>
    <w:basedOn w:val="List5"/>
    <w:rsid w:val="00567EE6"/>
    <w:pPr>
      <w:ind w:firstLine="0"/>
    </w:pPr>
  </w:style>
  <w:style w:type="paragraph" w:styleId="ListNumber3">
    <w:name w:val="List Number 3"/>
    <w:basedOn w:val="List3"/>
    <w:rsid w:val="00567EE6"/>
    <w:pPr>
      <w:numPr>
        <w:numId w:val="5"/>
      </w:numPr>
    </w:pPr>
  </w:style>
  <w:style w:type="paragraph" w:styleId="ListNumber4">
    <w:name w:val="List Number 4"/>
    <w:basedOn w:val="List4"/>
    <w:rsid w:val="00567EE6"/>
    <w:pPr>
      <w:numPr>
        <w:numId w:val="6"/>
      </w:numPr>
    </w:pPr>
  </w:style>
  <w:style w:type="paragraph" w:styleId="ListNumber5">
    <w:name w:val="List Number 5"/>
    <w:basedOn w:val="List5"/>
    <w:rsid w:val="00567EE6"/>
    <w:pPr>
      <w:numPr>
        <w:numId w:val="7"/>
      </w:numPr>
    </w:pPr>
  </w:style>
  <w:style w:type="paragraph" w:styleId="BlockText">
    <w:name w:val="Block Text"/>
    <w:basedOn w:val="Normal"/>
    <w:rsid w:val="00567EE6"/>
    <w:pPr>
      <w:spacing w:after="120"/>
      <w:ind w:left="1440" w:right="1440"/>
    </w:pPr>
  </w:style>
  <w:style w:type="character" w:customStyle="1" w:styleId="Subscript">
    <w:name w:val="Subscript"/>
    <w:basedOn w:val="DefaultParagraphFont"/>
    <w:rsid w:val="00567EE6"/>
    <w:rPr>
      <w:sz w:val="16"/>
      <w:vertAlign w:val="subscript"/>
    </w:rPr>
  </w:style>
  <w:style w:type="character" w:customStyle="1" w:styleId="Superscript">
    <w:name w:val="Superscript"/>
    <w:basedOn w:val="DefaultParagraphFont"/>
    <w:rsid w:val="00567EE6"/>
    <w:rPr>
      <w:sz w:val="16"/>
      <w:vertAlign w:val="superscript"/>
    </w:rPr>
  </w:style>
  <w:style w:type="character" w:customStyle="1" w:styleId="Symbols">
    <w:name w:val="Symbols"/>
    <w:basedOn w:val="DefaultParagraphFont"/>
    <w:rsid w:val="00567EE6"/>
    <w:rPr>
      <w:rFonts w:ascii="Symbol" w:hAnsi="Symbol"/>
    </w:rPr>
  </w:style>
  <w:style w:type="character" w:customStyle="1" w:styleId="MenuOptions">
    <w:name w:val="Menu Options"/>
    <w:basedOn w:val="DefaultParagraphFont"/>
    <w:rsid w:val="00567EE6"/>
    <w:rPr>
      <w:rFonts w:ascii="Arial Narrow" w:hAnsi="Arial Narrow"/>
      <w:smallCaps/>
    </w:rPr>
  </w:style>
  <w:style w:type="character" w:customStyle="1" w:styleId="Buttons">
    <w:name w:val="Buttons"/>
    <w:basedOn w:val="DefaultParagraphFont"/>
    <w:rsid w:val="00567EE6"/>
    <w:rPr>
      <w:b/>
    </w:rPr>
  </w:style>
  <w:style w:type="character" w:customStyle="1" w:styleId="Underlined">
    <w:name w:val="Underlined"/>
    <w:basedOn w:val="DefaultParagraphFont"/>
    <w:rsid w:val="00567EE6"/>
    <w:rPr>
      <w:u w:val="single"/>
    </w:rPr>
  </w:style>
  <w:style w:type="paragraph" w:customStyle="1" w:styleId="TableBodyTextRight">
    <w:name w:val="Table Body Text Right"/>
    <w:basedOn w:val="TableBodyText"/>
    <w:rsid w:val="00567EE6"/>
    <w:pPr>
      <w:widowControl w:val="0"/>
      <w:autoSpaceDE w:val="0"/>
      <w:autoSpaceDN w:val="0"/>
      <w:adjustRightInd w:val="0"/>
      <w:jc w:val="right"/>
    </w:pPr>
    <w:rPr>
      <w:rFonts w:cs="Arial"/>
      <w:szCs w:val="18"/>
    </w:rPr>
  </w:style>
  <w:style w:type="paragraph" w:customStyle="1" w:styleId="CopyrightText">
    <w:name w:val="Copyright Text"/>
    <w:basedOn w:val="BodyText"/>
    <w:rsid w:val="00567EE6"/>
    <w:rPr>
      <w:sz w:val="18"/>
    </w:rPr>
  </w:style>
  <w:style w:type="paragraph" w:customStyle="1" w:styleId="BodySmallRight">
    <w:name w:val="Body Small Right"/>
    <w:basedOn w:val="BodyTextRight"/>
    <w:rsid w:val="00567EE6"/>
    <w:rPr>
      <w:sz w:val="18"/>
      <w:szCs w:val="18"/>
    </w:rPr>
  </w:style>
  <w:style w:type="paragraph" w:customStyle="1" w:styleId="MarginEdition">
    <w:name w:val="Margin Edition"/>
    <w:basedOn w:val="MarginNote"/>
    <w:rsid w:val="00567EE6"/>
    <w:pPr>
      <w:spacing w:before="0" w:after="0"/>
    </w:pPr>
    <w:rPr>
      <w:rFonts w:ascii="Times New Roman" w:hAnsi="Times New Roman"/>
      <w:color w:val="999999"/>
    </w:rPr>
  </w:style>
  <w:style w:type="paragraph" w:customStyle="1" w:styleId="Spacer">
    <w:name w:val="Spacer"/>
    <w:basedOn w:val="Normal"/>
    <w:rsid w:val="00567EE6"/>
    <w:rPr>
      <w:sz w:val="2"/>
      <w:szCs w:val="2"/>
    </w:rPr>
  </w:style>
  <w:style w:type="character" w:customStyle="1" w:styleId="Small">
    <w:name w:val="Small"/>
    <w:basedOn w:val="DefaultParagraphFont"/>
    <w:rsid w:val="00567EE6"/>
    <w:rPr>
      <w:sz w:val="16"/>
    </w:rPr>
  </w:style>
  <w:style w:type="paragraph" w:customStyle="1" w:styleId="WideTable">
    <w:name w:val="Wide Table"/>
    <w:basedOn w:val="Normal"/>
    <w:rsid w:val="00567EE6"/>
    <w:pPr>
      <w:ind w:left="-1418"/>
    </w:pPr>
    <w:rPr>
      <w:sz w:val="2"/>
      <w:szCs w:val="2"/>
    </w:rPr>
  </w:style>
  <w:style w:type="character" w:styleId="PageNumber">
    <w:name w:val="page number"/>
    <w:basedOn w:val="DefaultParagraphFont"/>
    <w:rsid w:val="00567EE6"/>
  </w:style>
  <w:style w:type="paragraph" w:styleId="Quote">
    <w:name w:val="Quote"/>
    <w:basedOn w:val="Heading1"/>
    <w:link w:val="QuoteChar"/>
    <w:qFormat/>
    <w:rsid w:val="00567EE6"/>
    <w:rPr>
      <w:b w:val="0"/>
      <w:sz w:val="72"/>
      <w:szCs w:val="72"/>
      <w:lang w:val="en-NZ"/>
    </w:rPr>
  </w:style>
  <w:style w:type="character" w:customStyle="1" w:styleId="QuoteChar">
    <w:name w:val="Quote Char"/>
    <w:basedOn w:val="DefaultParagraphFont"/>
    <w:link w:val="Quote"/>
    <w:rsid w:val="00567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EE6"/>
    <w:pPr>
      <w:pageBreakBefore/>
    </w:pPr>
  </w:style>
  <w:style w:type="paragraph" w:customStyle="1" w:styleId="Border">
    <w:name w:val="Border"/>
    <w:basedOn w:val="Normal"/>
    <w:qFormat/>
    <w:rsid w:val="00567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EE6"/>
    <w:rPr>
      <w:b/>
      <w:bCs/>
      <w:i/>
      <w:iCs/>
      <w:color w:val="auto"/>
    </w:rPr>
  </w:style>
  <w:style w:type="paragraph" w:styleId="IntenseQuote">
    <w:name w:val="Intense Quote"/>
    <w:basedOn w:val="Normal"/>
    <w:next w:val="Normal"/>
    <w:link w:val="IntenseQuoteChar"/>
    <w:uiPriority w:val="30"/>
    <w:qFormat/>
    <w:rsid w:val="00567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E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EE6"/>
    <w:rPr>
      <w:smallCaps/>
      <w:color w:val="auto"/>
      <w:u w:val="single"/>
    </w:rPr>
  </w:style>
  <w:style w:type="character" w:styleId="IntenseReference">
    <w:name w:val="Intense Reference"/>
    <w:basedOn w:val="DefaultParagraphFont"/>
    <w:uiPriority w:val="32"/>
    <w:qFormat/>
    <w:rsid w:val="00567EE6"/>
    <w:rPr>
      <w:b/>
      <w:bCs/>
      <w:smallCaps/>
      <w:color w:val="auto"/>
      <w:spacing w:val="5"/>
      <w:u w:val="single"/>
    </w:rPr>
  </w:style>
  <w:style w:type="paragraph" w:customStyle="1" w:styleId="2ColumnHeading">
    <w:name w:val="2Column Heading"/>
    <w:basedOn w:val="BodyText"/>
    <w:qFormat/>
    <w:rsid w:val="00567EE6"/>
    <w:pPr>
      <w:spacing w:after="60"/>
      <w:ind w:left="-2268"/>
    </w:pPr>
    <w:rPr>
      <w:b/>
    </w:rPr>
  </w:style>
  <w:style w:type="paragraph" w:customStyle="1" w:styleId="Heading1TOC">
    <w:name w:val="Heading1 TOC"/>
    <w:basedOn w:val="Normal"/>
    <w:qFormat/>
    <w:rsid w:val="00567EE6"/>
    <w:pPr>
      <w:spacing w:before="240" w:after="120"/>
    </w:pPr>
    <w:rPr>
      <w:rFonts w:ascii="Times New Roman" w:hAnsi="Times New Roman"/>
      <w:b/>
      <w:sz w:val="32"/>
    </w:rPr>
  </w:style>
  <w:style w:type="paragraph" w:customStyle="1" w:styleId="Heading2TOC">
    <w:name w:val="Heading2 TOC"/>
    <w:basedOn w:val="Normal"/>
    <w:qFormat/>
    <w:rsid w:val="00567EE6"/>
    <w:pPr>
      <w:spacing w:before="240" w:after="60"/>
    </w:pPr>
    <w:rPr>
      <w:rFonts w:ascii="Times New Roman" w:hAnsi="Times New Roman"/>
      <w:b/>
      <w:sz w:val="28"/>
    </w:rPr>
  </w:style>
  <w:style w:type="character" w:customStyle="1" w:styleId="Underline">
    <w:name w:val="Underline"/>
    <w:basedOn w:val="DefaultParagraphFont"/>
    <w:qFormat/>
    <w:rsid w:val="00567EE6"/>
    <w:rPr>
      <w:u w:val="single"/>
    </w:rPr>
  </w:style>
  <w:style w:type="character" w:customStyle="1" w:styleId="BoldandItalics">
    <w:name w:val="Bold and Italics"/>
    <w:qFormat/>
    <w:rsid w:val="00567EE6"/>
    <w:rPr>
      <w:b/>
      <w:i/>
      <w:u w:val="none"/>
    </w:rPr>
  </w:style>
  <w:style w:type="paragraph" w:styleId="BalloonText">
    <w:name w:val="Balloon Text"/>
    <w:basedOn w:val="Normal"/>
    <w:link w:val="BalloonTextChar"/>
    <w:rsid w:val="00567EE6"/>
    <w:rPr>
      <w:rFonts w:ascii="Tahoma" w:hAnsi="Tahoma" w:cs="Tahoma"/>
      <w:sz w:val="16"/>
      <w:szCs w:val="16"/>
    </w:rPr>
  </w:style>
  <w:style w:type="character" w:customStyle="1" w:styleId="BalloonTextChar">
    <w:name w:val="Balloon Text Char"/>
    <w:basedOn w:val="DefaultParagraphFont"/>
    <w:link w:val="BalloonText"/>
    <w:rsid w:val="00567E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E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E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EE6"/>
    <w:rPr>
      <w:b/>
      <w:color w:val="660033"/>
      <w:spacing w:val="0"/>
    </w:rPr>
  </w:style>
  <w:style w:type="paragraph" w:customStyle="1" w:styleId="Nameditemlist">
    <w:name w:val="Named item list"/>
    <w:basedOn w:val="BodyText"/>
    <w:qFormat/>
    <w:rsid w:val="00567EE6"/>
    <w:pPr>
      <w:tabs>
        <w:tab w:val="left" w:pos="2835"/>
      </w:tabs>
      <w:ind w:left="2835" w:hanging="2835"/>
    </w:pPr>
  </w:style>
  <w:style w:type="paragraph" w:customStyle="1" w:styleId="BodyTextnopadding">
    <w:name w:val="Body Text no padding"/>
    <w:basedOn w:val="BodyText"/>
    <w:qFormat/>
    <w:rsid w:val="00567EE6"/>
    <w:pPr>
      <w:spacing w:before="0" w:after="0"/>
    </w:pPr>
  </w:style>
  <w:style w:type="paragraph" w:customStyle="1" w:styleId="BodyTextBold">
    <w:name w:val="Body Text Bold"/>
    <w:basedOn w:val="BodyText"/>
    <w:qFormat/>
    <w:rsid w:val="00567EE6"/>
    <w:rPr>
      <w:b/>
    </w:rPr>
  </w:style>
  <w:style w:type="character" w:styleId="Hyperlink">
    <w:name w:val="Hyperlink"/>
    <w:basedOn w:val="DefaultParagraphFont"/>
    <w:uiPriority w:val="99"/>
    <w:unhideWhenUsed/>
    <w:rsid w:val="00646F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6566</Characters>
  <Application>Microsoft Office Word</Application>
  <DocSecurity>0</DocSecurity>
  <Lines>211</Lines>
  <Paragraphs>112</Paragraphs>
  <ScaleCrop>false</ScaleCrop>
  <Company>Author-it Software Corporation Ltd.</Company>
  <LinksUpToDate>false</LinksUpToDate>
  <CharactersWithSpaces>7433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DEFGEN311 Implement and manage technical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2025-03-01T22:42:00Z</dcterms:created>
  <dcterms:modified xsi:type="dcterms:W3CDTF">2025-03-01T22:42:00Z</dcterms:modified>
</cp:coreProperties>
</file>