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FEA" w:rsidP="00E56FEA">
      <w:pPr>
        <w:pStyle w:val="Title"/>
      </w:pPr>
      <w:r>
        <w:fldChar w:fldCharType="begin"/>
      </w:r>
      <w:r>
        <w:instrText xml:space="preserve"> TITLE   \* MERGEFORMAT </w:instrText>
      </w:r>
      <w:r>
        <w:fldChar w:fldCharType="separate"/>
      </w:r>
      <w:r>
        <w:t>DEFGEN310 Establish technical risk management systems</w:t>
      </w:r>
      <w:r>
        <w:fldChar w:fldCharType="end"/>
      </w:r>
    </w:p>
    <w:p w:rsidR="00E56FEA" w:rsidP="00E56FEA">
      <w:pPr>
        <w:pStyle w:val="Version"/>
        <w:sectPr w:rsidSect="001C35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53D" w:rsidP="001C353D">
      <w:pPr>
        <w:pStyle w:val="SuperHeading"/>
      </w:pPr>
      <w:r w:rsidRPr="001C353D">
        <w:t>DEFGEN310 Establish technical risk management systems</w:t>
      </w:r>
    </w:p>
    <w:p w:rsidR="00000000" w:rsidRPr="001C353D" w:rsidP="001C353D">
      <w:pPr>
        <w:pStyle w:val="Heading1"/>
      </w:pPr>
      <w:bookmarkStart w:id="1" w:name="O_957983"/>
      <w:bookmarkEnd w:id="1"/>
      <w:r w:rsidRPr="001C353D">
        <w:t>Modification History</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Release 1. This is the first release of this unit of competency in the DEF Defence Training Package.</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2" w:name="O_957984"/>
      <w:bookmarkEnd w:id="2"/>
      <w:r w:rsidRPr="001C353D">
        <w:t>Application</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 xml:space="preserve">This unit specifies the skills and knowledge required to manage the factors that might </w:t>
            </w:r>
            <w:r w:rsidRPr="001C353D">
              <w:t>adversely affect the technical integrity of the organisation’s materiel, program and organisational outcomes.</w:t>
            </w:r>
          </w:p>
          <w:p w:rsidR="00000000" w:rsidRPr="001C353D" w:rsidP="001C353D">
            <w:pPr>
              <w:pStyle w:val="BodyText"/>
            </w:pPr>
            <w:r w:rsidRPr="001C353D">
              <w:t>It includes directing the planning and management of technical risks, managing risks to the risk management plan requirements, and assessing techn</w:t>
            </w:r>
            <w:r w:rsidRPr="001C353D">
              <w:t>ical risk management outcomes associated with materiel. It also includes developing and establishing a technical risk management strategy.</w:t>
            </w:r>
          </w:p>
          <w:p w:rsidR="00000000" w:rsidRPr="001C353D" w:rsidP="001C353D">
            <w:pPr>
              <w:pStyle w:val="BodyText"/>
            </w:pPr>
            <w:r w:rsidRPr="001C353D">
              <w:t>This unit applies to technical regulatory framework specialists working in Defence materiel logistics but is applicab</w:t>
            </w:r>
            <w:r w:rsidRPr="001C353D">
              <w:t>le to any individual in this field of work.</w:t>
            </w:r>
          </w:p>
          <w:p w:rsidR="00000000" w:rsidRPr="001C353D" w:rsidP="001C353D">
            <w:pPr>
              <w:pStyle w:val="BodyText"/>
            </w:pPr>
            <w:r w:rsidRPr="001C353D">
              <w:t>The skills and knowledge described in this unit must be applied within the legislative, regulatory and policy environment in which they are carried out. Organisational policies and procedures must be consulted an</w:t>
            </w:r>
            <w:r w:rsidRPr="001C353D">
              <w:t>d adhered to.</w:t>
            </w:r>
          </w:p>
          <w:p w:rsidR="00000000" w:rsidRPr="001C353D" w:rsidP="001C353D">
            <w:pPr>
              <w:pStyle w:val="BodyText"/>
            </w:pPr>
            <w:r w:rsidRPr="001C353D">
              <w:t>Typically, persons undertaking this unit work independently or as part of a team under direct and/or indirect supervision, use discretion and judgement, and take responsibility for the quality of their outputs.</w:t>
            </w:r>
          </w:p>
          <w:p w:rsidR="00000000" w:rsidRPr="001C353D" w:rsidP="001C353D">
            <w:pPr>
              <w:pStyle w:val="BodyText"/>
            </w:pPr>
            <w:r w:rsidRPr="001C353D">
              <w:t>No licensing, legislative or ce</w:t>
            </w:r>
            <w:r w:rsidRPr="001C353D">
              <w:t>rtification requirements apply to this unit at the time of publication.</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3" w:name="O_957985"/>
      <w:bookmarkEnd w:id="3"/>
      <w:r w:rsidRPr="001C353D">
        <w:t>Pre-requisite Unit</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Not applicable</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4" w:name="O_957986"/>
      <w:bookmarkEnd w:id="4"/>
      <w:r w:rsidRPr="001C353D">
        <w:t>Competency Field</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General</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5" w:name="O_957987"/>
      <w:bookmarkEnd w:id="5"/>
      <w:r w:rsidRPr="001C353D">
        <w:t>Unit Sector</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Not applicable.</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6" w:name="O_957988"/>
      <w:bookmarkEnd w:id="6"/>
      <w:r w:rsidRPr="001C353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C35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PERFORMANCE CRITERIA</w:t>
            </w:r>
          </w:p>
        </w:tc>
      </w:tr>
      <w:tr w:rsidTr="001C35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Performance criteria describe the performance needed to demonstrate achievement of the element.</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rPr>
                <w:rStyle w:val="SpecialBold"/>
              </w:rPr>
              <w:t>Direct planning of technical risk management</w:t>
            </w: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Direct potential, perceived and actual technical risks for identification, documentation and analysis, in consultation with managers and relevant stakeholders, as the basis for technical risk management planning</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3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Select and modify risk management</w:t>
            </w:r>
            <w:r w:rsidRPr="001C353D">
              <w:t xml:space="preserve"> methods, techniques and tools for managers to analyse information, evaluate options and determine preferred risk approaches within the overall organisational environment</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3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Direct the development, communication and implementation of risk management plans and strategies to ensure clarity of business objectives in accordance with technical regulatory framework requirements</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3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Identify, develop and maintain the technical ris</w:t>
            </w:r>
            <w:r w:rsidRPr="001C353D">
              <w:t>k management system to enable effective management and communication of technical risk activities and outcomes, responses and results to relevant stakeholders</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rPr>
                <w:rStyle w:val="SpecialBold"/>
              </w:rPr>
              <w:t>Direct management of technical risk and manage technical risk</w:t>
            </w: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Manage technical risk in acc</w:t>
            </w:r>
            <w:r w:rsidRPr="001C353D">
              <w:t>ordance with agreed risk management plans and organisational procedures</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3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Review progress, analyse variance and initiate risk responses to achieve objectives in changing environments</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3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Identify and assign risk levels to planned technical outcomes to facilitate monitoring and authorisation of remedial actions</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rPr>
                <w:rStyle w:val="SpecialBold"/>
              </w:rPr>
              <w:t>Assess technical risk management systems</w:t>
            </w: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t>Review and analyse technical risk management outcomes to assess the effectiveness o</w:t>
            </w:r>
            <w:r w:rsidRPr="001C353D">
              <w:t>f the risk management plan in maintaining the integrity of materiel</w:t>
            </w:r>
          </w:p>
        </w:tc>
      </w:tr>
      <w:tr w:rsidTr="001C35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3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353D">
            <w:pPr>
              <w:pStyle w:val="BodyText"/>
              <w:rPr>
                <w:lang w:val="en-NZ"/>
              </w:rPr>
            </w:pPr>
            <w:r w:rsidRPr="001C35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Aggregate and report lessons learned for feedback to managers and senior management for strategic review and future planning</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7" w:name="O_957989"/>
      <w:bookmarkEnd w:id="7"/>
      <w:r w:rsidRPr="001C353D">
        <w:t>Foundation Skills</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 xml:space="preserve">Foundation skills essential to performance are explicit in the performance criteria of this unit of </w:t>
            </w:r>
            <w:r w:rsidRPr="001C353D">
              <w:t>competency.</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8" w:name="O_957990"/>
      <w:bookmarkEnd w:id="8"/>
      <w:r w:rsidRPr="001C353D">
        <w:t>Range of Conditions</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Range is restricted to essential operating conditions and any other variables essential to the work environment.</w:t>
            </w:r>
          </w:p>
          <w:p w:rsidR="00000000" w:rsidRPr="001C353D" w:rsidP="001C353D">
            <w:pPr>
              <w:pStyle w:val="BodyText"/>
            </w:pPr>
            <w:r w:rsidRPr="001C353D">
              <w:t>Non-essential conditions may be found in the Companion Volume Implementation Guide.</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9" w:name="O_957991"/>
      <w:bookmarkEnd w:id="9"/>
      <w:r w:rsidRPr="001C353D">
        <w:t>Unit Mapping Information</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This unit repla</w:t>
            </w:r>
            <w:r w:rsidRPr="001C353D">
              <w:t>ces and is equivalent to DEFCM310A Establish technical risk management systems.</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10" w:name="O_957998"/>
      <w:bookmarkEnd w:id="10"/>
      <w:r w:rsidRPr="001C353D">
        <w:t>Links</w:t>
      </w:r>
    </w:p>
    <w:p w:rsidR="00000000" w:rsidRPr="001C353D" w:rsidP="00E56FEA">
      <w:pPr>
        <w:pStyle w:val="BodyText"/>
      </w:pPr>
      <w:r w:rsidRPr="001C353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42542">
        <w:rPr>
          <w:rStyle w:val="Hyperlink"/>
        </w:rPr>
        <w:t>https://vetnet.gov.au/Pages/TrainingDocs.aspx?q=6bdbab1e-11ed-4bc9-9cba-9e1a55d4e4a9</w:t>
      </w:r>
      <w:r>
        <w:fldChar w:fldCharType="end"/>
      </w:r>
    </w:p>
    <w:p w:rsidR="00000000" w:rsidRPr="001C353D" w:rsidP="00E56FEA">
      <w:pPr>
        <w:pStyle w:val="BodyText"/>
        <w:sectPr w:rsidSect="001C353D">
          <w:headerReference w:type="default" r:id="rId10"/>
          <w:footerReference w:type="default" r:id="rId11"/>
          <w:pgSz w:w="11908" w:h="16833"/>
          <w:pgMar w:top="1702" w:right="1418" w:bottom="1702" w:left="1418" w:header="992" w:footer="992" w:gutter="0"/>
          <w:cols w:space="720"/>
          <w:noEndnote/>
          <w:docGrid w:linePitch="299"/>
        </w:sectPr>
      </w:pPr>
    </w:p>
    <w:p w:rsidR="00000000" w:rsidRPr="001C353D" w:rsidP="001C353D">
      <w:pPr>
        <w:pStyle w:val="SuperHeading"/>
      </w:pPr>
      <w:r w:rsidRPr="001C353D">
        <w:t>Assessment Requirements for DEFGEN310 Establish technical risk management systems</w:t>
      </w:r>
    </w:p>
    <w:p w:rsidR="00000000" w:rsidRPr="001C353D" w:rsidP="001C353D">
      <w:pPr>
        <w:pStyle w:val="Heading1"/>
      </w:pPr>
      <w:bookmarkStart w:id="11" w:name="O_957993"/>
      <w:bookmarkEnd w:id="11"/>
      <w:r w:rsidRPr="001C353D">
        <w:t>Modification History</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Release 1. This is the first release of this unit of competency in the DEF Defence Training Package.</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12" w:name="O_957994"/>
      <w:bookmarkEnd w:id="12"/>
      <w:r w:rsidRPr="001C353D">
        <w:t>Performance Evidence</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Evidence required to demonstrate competence in this unit must be relevant to and satisfy all of the requirements of</w:t>
            </w:r>
            <w:r w:rsidRPr="001C353D">
              <w:t xml:space="preserve"> the elements and performance criteria on at least one occasion and include:</w:t>
            </w:r>
          </w:p>
          <w:p w:rsidR="00000000" w:rsidRPr="001C353D" w:rsidP="001C353D">
            <w:pPr>
              <w:pStyle w:val="ListBullet"/>
            </w:pPr>
            <w:r w:rsidRPr="001C353D">
              <w:t>analysing data and information</w:t>
            </w:r>
          </w:p>
          <w:p w:rsidR="00000000" w:rsidRPr="001C353D" w:rsidP="001C353D">
            <w:pPr>
              <w:pStyle w:val="ListBullet"/>
            </w:pPr>
            <w:r w:rsidRPr="001C353D">
              <w:t>applying legislative, regulatory and organisational policies and procedures</w:t>
            </w:r>
          </w:p>
          <w:p w:rsidR="00000000" w:rsidRPr="001C353D" w:rsidP="001C353D">
            <w:pPr>
              <w:pStyle w:val="ListBullet"/>
            </w:pPr>
            <w:r w:rsidRPr="001C353D">
              <w:t>applying technical risk management and organisational procedures</w:t>
            </w:r>
          </w:p>
          <w:p w:rsidR="00000000" w:rsidRPr="001C353D" w:rsidP="001C353D">
            <w:pPr>
              <w:pStyle w:val="ListBullet"/>
            </w:pPr>
            <w:r w:rsidRPr="001C353D">
              <w:t>applyi</w:t>
            </w:r>
            <w:r w:rsidRPr="001C353D">
              <w:t>ng, monitoring and reporting on relevant implementation processes</w:t>
            </w:r>
          </w:p>
          <w:p w:rsidR="00000000" w:rsidRPr="001C353D" w:rsidP="001C353D">
            <w:pPr>
              <w:pStyle w:val="ListBullet"/>
            </w:pPr>
            <w:r w:rsidRPr="001C353D">
              <w:t>assessing technical risk management systems</w:t>
            </w:r>
          </w:p>
          <w:p w:rsidR="00000000" w:rsidRPr="001C353D" w:rsidP="001C353D">
            <w:pPr>
              <w:pStyle w:val="ListBullet"/>
            </w:pPr>
            <w:r w:rsidRPr="001C353D">
              <w:t>identifying, interpreting and analysing risk assessment requirements relevant to work being performed</w:t>
            </w:r>
          </w:p>
          <w:p w:rsidR="00000000" w:rsidRPr="001C353D" w:rsidP="001C353D">
            <w:pPr>
              <w:pStyle w:val="ListBullet"/>
            </w:pPr>
            <w:r w:rsidRPr="001C353D">
              <w:t>interpreting organisational role relevant to</w:t>
            </w:r>
            <w:r w:rsidRPr="001C353D">
              <w:t xml:space="preserve"> technical risk management plans</w:t>
            </w:r>
          </w:p>
          <w:p w:rsidR="00000000" w:rsidRPr="001C353D" w:rsidP="001C353D">
            <w:pPr>
              <w:pStyle w:val="ListBullet"/>
            </w:pPr>
            <w:r w:rsidRPr="001C353D">
              <w:t>modifying activities for variations in workplace context and environment</w:t>
            </w:r>
          </w:p>
          <w:p w:rsidR="00000000" w:rsidRPr="001C353D" w:rsidP="001C353D">
            <w:pPr>
              <w:pStyle w:val="ListBullet"/>
            </w:pPr>
            <w:r w:rsidRPr="001C353D">
              <w:t>planning and determining technical risk management plans</w:t>
            </w:r>
          </w:p>
          <w:p w:rsidR="00000000" w:rsidRPr="001C353D" w:rsidP="001C353D">
            <w:pPr>
              <w:pStyle w:val="ListBullet"/>
            </w:pPr>
            <w:r w:rsidRPr="001C353D">
              <w:t>planning, directing and managing technical risk</w:t>
            </w:r>
          </w:p>
          <w:p w:rsidR="00000000" w:rsidRPr="001C353D" w:rsidP="001C353D">
            <w:pPr>
              <w:pStyle w:val="ListBullet"/>
            </w:pPr>
            <w:r w:rsidRPr="001C353D">
              <w:t>working and communicating effectively with relevant stakeholders.</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13" w:name="O_957995"/>
      <w:bookmarkEnd w:id="13"/>
      <w:r w:rsidRPr="001C353D">
        <w:t>Knowledge Evidence</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Evidence required to demonstrate competence in this unit must be relevant to and satisfy all of the requirements of the elements and performance criteri</w:t>
            </w:r>
            <w:r w:rsidRPr="001C353D">
              <w:t>a and include knowledge of:</w:t>
            </w:r>
          </w:p>
          <w:p w:rsidR="00000000" w:rsidRPr="001C353D" w:rsidP="001C353D">
            <w:pPr>
              <w:pStyle w:val="ListBullet"/>
            </w:pPr>
            <w:r w:rsidRPr="001C353D">
              <w:t>implementation processes</w:t>
            </w:r>
          </w:p>
          <w:p w:rsidR="00000000" w:rsidRPr="001C353D" w:rsidP="001C353D">
            <w:pPr>
              <w:pStyle w:val="ListBullet"/>
            </w:pPr>
            <w:r w:rsidRPr="001C353D">
              <w:t>monitoring processes</w:t>
            </w:r>
          </w:p>
          <w:p w:rsidR="00000000" w:rsidRPr="001C353D" w:rsidP="001C353D">
            <w:pPr>
              <w:pStyle w:val="ListBullet"/>
            </w:pPr>
            <w:r w:rsidRPr="001C353D">
              <w:t>relevant legislation, regulations and organisational policies, guidance and procedures</w:t>
            </w:r>
          </w:p>
          <w:p w:rsidR="00000000" w:rsidRPr="001C353D" w:rsidP="001C353D">
            <w:pPr>
              <w:pStyle w:val="ListBullet"/>
            </w:pPr>
            <w:r w:rsidRPr="001C353D">
              <w:t>relevant risk management methodologies, capabilities, limitations, applicability and outcomes</w:t>
            </w:r>
          </w:p>
          <w:p w:rsidR="00000000" w:rsidRPr="001C353D" w:rsidP="001C353D">
            <w:pPr>
              <w:pStyle w:val="ListBullet"/>
            </w:pPr>
            <w:r w:rsidRPr="001C353D">
              <w:t>relevant technical risk management context in the materiel life cycle and other risk management functions</w:t>
            </w:r>
          </w:p>
          <w:p w:rsidR="00000000" w:rsidRPr="001C353D" w:rsidP="001C353D">
            <w:pPr>
              <w:pStyle w:val="ListBullet"/>
            </w:pPr>
            <w:r w:rsidRPr="001C353D">
              <w:t>relevant work content, risk, processes, tools and techniques that apply in the various phases of the materiel life cycle and the program cycle, and ho</w:t>
            </w:r>
            <w:r w:rsidRPr="001C353D">
              <w:t>w these relate to business cycles, particularly financial cycles</w:t>
            </w:r>
          </w:p>
          <w:p w:rsidR="00000000" w:rsidRPr="001C353D" w:rsidP="001C353D">
            <w:pPr>
              <w:pStyle w:val="ListBullet"/>
            </w:pPr>
            <w:r w:rsidRPr="001C353D">
              <w:t>role of the technical regulatory framework and the organisation’s risk management plan.</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14" w:name="O_957996"/>
      <w:bookmarkEnd w:id="14"/>
      <w:r w:rsidRPr="001C353D">
        <w:t>Assessment Conditions</w:t>
      </w:r>
    </w:p>
    <w:tbl>
      <w:tblPr>
        <w:tblW w:w="9497" w:type="dxa"/>
        <w:tblLayout w:type="fixed"/>
        <w:tblCellMar>
          <w:left w:w="62" w:type="dxa"/>
          <w:right w:w="62" w:type="dxa"/>
        </w:tblCellMar>
        <w:tblLook w:val="0000"/>
      </w:tblPr>
      <w:tblGrid>
        <w:gridCol w:w="9497"/>
      </w:tblGrid>
      <w:tr w:rsidTr="001C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53D" w:rsidP="001C353D">
            <w:pPr>
              <w:pStyle w:val="BodyText"/>
            </w:pPr>
            <w:r w:rsidRPr="001C353D">
              <w:t>As a minimum, assessors must satisfy applicable regulatory req</w:t>
            </w:r>
            <w:r w:rsidRPr="001C353D">
              <w:t>uirements, which include requirements in the Standards for Registered Training Organisations current at the time of assessment.</w:t>
            </w:r>
          </w:p>
          <w:p w:rsidR="00000000" w:rsidRPr="001C353D" w:rsidP="001C353D">
            <w:pPr>
              <w:pStyle w:val="BodyText"/>
            </w:pPr>
            <w:r w:rsidRPr="001C353D">
              <w:t>As a minimum, assessment must satisfy applicable regulatory requirements, which include requirements in the Standards for Regist</w:t>
            </w:r>
            <w:r w:rsidRPr="001C353D">
              <w:t>ered Training Organisations current at the time of assessment.</w:t>
            </w:r>
          </w:p>
          <w:p w:rsidR="00000000" w:rsidRPr="001C353D" w:rsidP="001C353D">
            <w:pPr>
              <w:pStyle w:val="BodyText"/>
            </w:pPr>
            <w:r w:rsidRPr="001C353D">
              <w:t>Assessment must occur in workplace operational situations where it is appropriate to do so; where this is not appropriate, assessment must occur in simulated workplace operational situations th</w:t>
            </w:r>
            <w:r w:rsidRPr="001C353D">
              <w:t>at replicate workplace conditions.</w:t>
            </w:r>
          </w:p>
          <w:p w:rsidR="00000000" w:rsidRPr="001C353D" w:rsidP="001C353D">
            <w:pPr>
              <w:pStyle w:val="BodyText"/>
            </w:pPr>
            <w:r w:rsidRPr="001C353D">
              <w:t>Assessment processes and techniques must be appropriate to the language, literacy and numeracy requirements of the work being performed and the needs of the candidate.</w:t>
            </w:r>
          </w:p>
          <w:p w:rsidR="00000000" w:rsidRPr="001C353D" w:rsidP="001C353D">
            <w:pPr>
              <w:pStyle w:val="BodyText"/>
            </w:pPr>
            <w:r w:rsidRPr="001C353D">
              <w:t>Resources for assessment must include access to:</w:t>
            </w:r>
          </w:p>
          <w:p w:rsidR="00000000" w:rsidRPr="001C353D" w:rsidP="001C353D">
            <w:pPr>
              <w:pStyle w:val="ListBullet"/>
            </w:pPr>
            <w:r w:rsidRPr="001C353D">
              <w:t>a r</w:t>
            </w:r>
            <w:r w:rsidRPr="001C353D">
              <w:t>ange of relevant exercises, case studies and/or other simulations</w:t>
            </w:r>
          </w:p>
          <w:p w:rsidR="00000000" w:rsidRPr="001C353D" w:rsidP="001C353D">
            <w:pPr>
              <w:pStyle w:val="ListBullet"/>
            </w:pPr>
            <w:r w:rsidRPr="001C353D">
              <w:t>relevant and appropriate materials, tools, equipment and personal protective equipment currently used in industry</w:t>
            </w:r>
          </w:p>
          <w:p w:rsidR="00000000" w:rsidRPr="001C353D" w:rsidP="001C353D">
            <w:pPr>
              <w:pStyle w:val="ListBullet"/>
            </w:pPr>
            <w:r w:rsidRPr="001C353D">
              <w:t>applicable documentation including relevant:</w:t>
            </w:r>
          </w:p>
          <w:p w:rsidR="00000000" w:rsidRPr="001C353D" w:rsidP="001C353D">
            <w:pPr>
              <w:pStyle w:val="ListBullet2"/>
            </w:pPr>
            <w:r w:rsidRPr="001C353D">
              <w:t>information about technical risk management systems and requirements</w:t>
            </w:r>
          </w:p>
          <w:p w:rsidR="00000000" w:rsidRPr="001C353D" w:rsidP="001C353D">
            <w:pPr>
              <w:pStyle w:val="ListBullet2"/>
            </w:pPr>
            <w:r w:rsidRPr="001C353D">
              <w:t>legislation, guidelines, procedures and protocols</w:t>
            </w:r>
          </w:p>
          <w:p w:rsidR="00000000" w:rsidRPr="001C353D" w:rsidP="001C353D">
            <w:pPr>
              <w:pStyle w:val="ListBullet2"/>
            </w:pPr>
            <w:r w:rsidRPr="001C353D">
              <w:t>operational plans</w:t>
            </w:r>
          </w:p>
          <w:p w:rsidR="00000000" w:rsidRPr="001C353D" w:rsidP="001C353D">
            <w:pPr>
              <w:pStyle w:val="ListBullet2"/>
            </w:pPr>
            <w:r w:rsidRPr="001C353D">
              <w:t>documentation</w:t>
            </w:r>
          </w:p>
          <w:p w:rsidR="00000000" w:rsidRPr="001C353D" w:rsidP="001C353D">
            <w:pPr>
              <w:pStyle w:val="ListBullet2"/>
            </w:pPr>
            <w:r w:rsidRPr="001C353D">
              <w:t>workplace procedures, regulations, codes of practice and operation manuals.</w:t>
            </w:r>
          </w:p>
        </w:tc>
      </w:tr>
    </w:tbl>
    <w:p w:rsidR="00000000" w:rsidRPr="001C353D" w:rsidP="001C353D">
      <w:pPr>
        <w:pStyle w:val="NoPaddingFontSize1"/>
      </w:pPr>
    </w:p>
    <w:p w:rsidR="00000000" w:rsidRPr="001C353D" w:rsidP="001C353D">
      <w:pPr>
        <w:pStyle w:val="AllowPageBreak"/>
      </w:pPr>
    </w:p>
    <w:p w:rsidR="00000000" w:rsidRPr="001C353D" w:rsidP="001C353D">
      <w:pPr>
        <w:pStyle w:val="Heading1"/>
      </w:pPr>
      <w:bookmarkStart w:id="15" w:name="O_957999"/>
      <w:bookmarkEnd w:id="15"/>
      <w:r w:rsidRPr="001C353D">
        <w:t>Links</w:t>
      </w:r>
    </w:p>
    <w:p w:rsidR="00000000" w:rsidRPr="001C353D" w:rsidP="00E56FEA">
      <w:pPr>
        <w:pStyle w:val="BodyText"/>
      </w:pPr>
      <w:r w:rsidRPr="001C353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42542">
        <w:rPr>
          <w:rStyle w:val="Hyperlink"/>
        </w:rPr>
        <w:t>https://vetnet.gov.au/Pages/TrainingDocs.aspx?q=6bdbab1e-11ed-4bc9-9cba-9e1a55d4e4a9</w:t>
      </w:r>
      <w:r>
        <w:fldChar w:fldCharType="end"/>
      </w:r>
    </w:p>
    <w:p w:rsidR="00000000" w:rsidRPr="001C353D" w:rsidP="001C353D"/>
    <w:sectPr w:rsidSect="001C35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3D" w:rsidRPr="00E56FEA" w:rsidP="00E56F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EA" w:rsidP="001C3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FEA" w:rsidP="001C35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56FEA" w:rsidP="001C35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3D" w:rsidP="001C353D">
    <w:pPr>
      <w:pStyle w:val="Footer"/>
      <w:framePr w:wrap="around"/>
    </w:pPr>
    <w:r>
      <w:fldChar w:fldCharType="begin"/>
    </w:r>
    <w:r>
      <w:instrText xml:space="preserve"> DOCPROPERTY  Subject  \* MERGEFORMAT </w:instrText>
    </w:r>
    <w:r>
      <w:fldChar w:fldCharType="separate"/>
    </w:r>
    <w:r w:rsidR="00E56FEA">
      <w:t>Approved</w:t>
    </w:r>
    <w:r w:rsidR="00E56FEA">
      <w:fldChar w:fldCharType="end"/>
    </w:r>
    <w:r>
      <w:tab/>
      <w:t xml:space="preserve">Page </w:t>
    </w:r>
    <w:r>
      <w:fldChar w:fldCharType="begin"/>
    </w:r>
    <w:r>
      <w:instrText xml:space="preserve"> PAGE  \* Arabic  \* MERGEFORMAT </w:instrText>
    </w:r>
    <w:r>
      <w:fldChar w:fldCharType="separate"/>
    </w:r>
    <w:r w:rsidR="00E56F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6FEA">
      <w:rPr>
        <w:noProof/>
      </w:rPr>
      <w:t>4</w:t>
    </w:r>
    <w:r>
      <w:rPr>
        <w:noProof/>
      </w:rPr>
      <w:fldChar w:fldCharType="end"/>
    </w:r>
  </w:p>
  <w:p w:rsidR="001C353D" w:rsidP="001C353D">
    <w:pPr>
      <w:pStyle w:val="Footer"/>
      <w:framePr w:wrap="around"/>
    </w:pPr>
    <w:r>
      <w:t xml:space="preserve">© Commonwealth of Australia, </w:t>
    </w:r>
    <w:r>
      <w:fldChar w:fldCharType="begin"/>
    </w:r>
    <w:r>
      <w:instrText xml:space="preserve"> DATE  \@ "yyyy"  \* MERGEFORMAT </w:instrText>
    </w:r>
    <w:r>
      <w:fldChar w:fldCharType="separate"/>
    </w:r>
    <w:r w:rsidR="00E56FEA">
      <w:rPr>
        <w:noProof/>
      </w:rPr>
      <w:t>2025</w:t>
    </w:r>
    <w:r>
      <w:fldChar w:fldCharType="end"/>
    </w:r>
    <w:r>
      <w:tab/>
    </w:r>
    <w:r>
      <w:fldChar w:fldCharType="begin"/>
    </w:r>
    <w:r>
      <w:instrText xml:space="preserve"> DOCPROPERTY  Author  \* MERGEFORMAT </w:instrText>
    </w:r>
    <w:r>
      <w:fldChar w:fldCharType="separate"/>
    </w:r>
    <w:r w:rsidR="00E56FEA">
      <w:t>Public Skills Australia</w:t>
    </w:r>
    <w:r w:rsidR="00E56FEA">
      <w:fldChar w:fldCharType="end"/>
    </w:r>
  </w:p>
  <w:p w:rsidR="001C353D" w:rsidP="001C3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53D" w:rsidRPr="00E56FEA" w:rsidP="00E56F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EA" w:rsidRPr="002D2AF8" w:rsidP="001C353D">
    <w:pPr>
      <w:pStyle w:val="Header"/>
      <w:framePr w:wrap="around"/>
    </w:pPr>
    <w:r>
      <w:fldChar w:fldCharType="begin"/>
    </w:r>
    <w:r>
      <w:instrText xml:space="preserve"> TITLE   \* MERGEFORMAT </w:instrText>
    </w:r>
    <w:r>
      <w:fldChar w:fldCharType="separate"/>
    </w:r>
    <w:r>
      <w:t>DEFGEN310 Establish technical risk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6FEA" w:rsidP="001C35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3D" w:rsidRPr="002D2AF8" w:rsidP="001C353D">
    <w:pPr>
      <w:pStyle w:val="Header"/>
      <w:framePr w:wrap="around"/>
    </w:pPr>
    <w:r>
      <w:fldChar w:fldCharType="begin"/>
    </w:r>
    <w:r>
      <w:instrText xml:space="preserve"> TITLE   \* MERGEFORMAT </w:instrText>
    </w:r>
    <w:r>
      <w:fldChar w:fldCharType="separate"/>
    </w:r>
    <w:r w:rsidR="00E56FEA">
      <w:t>DEFGEN310 Establish technical risk management systems</w:t>
    </w:r>
    <w:r w:rsidR="00E56FEA">
      <w:fldChar w:fldCharType="end"/>
    </w:r>
    <w:r>
      <w:tab/>
      <w:t xml:space="preserve">Date this document was generated: </w:t>
    </w:r>
    <w:r>
      <w:fldChar w:fldCharType="begin"/>
    </w:r>
    <w:r>
      <w:instrText xml:space="preserve"> CREATEDATE  \@ "d MMMM yyyy"  \* MERGEFORMAT </w:instrText>
    </w:r>
    <w:r>
      <w:fldChar w:fldCharType="separate"/>
    </w:r>
    <w:r w:rsidR="00E56FEA">
      <w:rPr>
        <w:noProof/>
      </w:rPr>
      <w:t>2 March 2025</w:t>
    </w:r>
    <w:r>
      <w:fldChar w:fldCharType="end"/>
    </w:r>
  </w:p>
  <w:p w:rsidR="001C353D" w:rsidP="001C3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EF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E1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DE5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53D"/>
    <w:pPr>
      <w:spacing w:before="360" w:after="60"/>
      <w:outlineLvl w:val="0"/>
    </w:pPr>
    <w:rPr>
      <w:sz w:val="32"/>
    </w:rPr>
  </w:style>
  <w:style w:type="paragraph" w:styleId="Heading2">
    <w:name w:val="heading 2"/>
    <w:basedOn w:val="HeadingBase"/>
    <w:next w:val="BodyText"/>
    <w:link w:val="Heading2Char"/>
    <w:qFormat/>
    <w:rsid w:val="001C353D"/>
    <w:pPr>
      <w:keepLines/>
      <w:spacing w:before="240" w:after="120"/>
      <w:outlineLvl w:val="1"/>
    </w:pPr>
    <w:rPr>
      <w:sz w:val="28"/>
      <w:szCs w:val="40"/>
    </w:rPr>
  </w:style>
  <w:style w:type="paragraph" w:styleId="Heading3">
    <w:name w:val="heading 3"/>
    <w:basedOn w:val="HeadingBase"/>
    <w:next w:val="BodyText"/>
    <w:link w:val="Heading3Char"/>
    <w:qFormat/>
    <w:rsid w:val="001C353D"/>
    <w:pPr>
      <w:spacing w:before="180" w:after="120"/>
      <w:outlineLvl w:val="2"/>
    </w:pPr>
    <w:rPr>
      <w:spacing w:val="-10"/>
      <w:kern w:val="32"/>
    </w:rPr>
  </w:style>
  <w:style w:type="paragraph" w:styleId="Heading4">
    <w:name w:val="heading 4"/>
    <w:basedOn w:val="HeadingBase"/>
    <w:next w:val="BodyText"/>
    <w:link w:val="Heading4Char"/>
    <w:qFormat/>
    <w:rsid w:val="001C353D"/>
    <w:pPr>
      <w:spacing w:before="160" w:after="120"/>
      <w:outlineLvl w:val="3"/>
    </w:pPr>
    <w:rPr>
      <w:sz w:val="22"/>
    </w:rPr>
  </w:style>
  <w:style w:type="paragraph" w:styleId="Heading5">
    <w:name w:val="heading 5"/>
    <w:basedOn w:val="HeadingBase"/>
    <w:next w:val="Normal"/>
    <w:link w:val="Heading5Char"/>
    <w:qFormat/>
    <w:rsid w:val="001C353D"/>
    <w:pPr>
      <w:spacing w:before="80"/>
      <w:outlineLvl w:val="4"/>
    </w:pPr>
    <w:rPr>
      <w:color w:val="918585"/>
      <w:sz w:val="20"/>
    </w:rPr>
  </w:style>
  <w:style w:type="paragraph" w:styleId="Heading6">
    <w:name w:val="heading 6"/>
    <w:basedOn w:val="HeadingBase"/>
    <w:next w:val="Normal"/>
    <w:link w:val="Heading6Char"/>
    <w:qFormat/>
    <w:rsid w:val="001C353D"/>
    <w:pPr>
      <w:spacing w:before="60"/>
      <w:outlineLvl w:val="5"/>
    </w:pPr>
    <w:rPr>
      <w:color w:val="918585"/>
      <w:sz w:val="20"/>
    </w:rPr>
  </w:style>
  <w:style w:type="paragraph" w:styleId="Heading7">
    <w:name w:val="heading 7"/>
    <w:basedOn w:val="Normal"/>
    <w:next w:val="Normal"/>
    <w:link w:val="Heading7Char"/>
    <w:qFormat/>
    <w:rsid w:val="001C353D"/>
    <w:pPr>
      <w:ind w:left="720"/>
      <w:outlineLvl w:val="6"/>
    </w:pPr>
    <w:rPr>
      <w:i/>
    </w:rPr>
  </w:style>
  <w:style w:type="paragraph" w:styleId="Heading8">
    <w:name w:val="heading 8"/>
    <w:basedOn w:val="Normal"/>
    <w:next w:val="Normal"/>
    <w:link w:val="Heading8Char"/>
    <w:qFormat/>
    <w:rsid w:val="001C353D"/>
    <w:pPr>
      <w:ind w:left="720"/>
      <w:outlineLvl w:val="7"/>
    </w:pPr>
    <w:rPr>
      <w:i/>
    </w:rPr>
  </w:style>
  <w:style w:type="paragraph" w:styleId="Heading9">
    <w:name w:val="heading 9"/>
    <w:basedOn w:val="Normal"/>
    <w:next w:val="Normal"/>
    <w:link w:val="Heading9Char"/>
    <w:qFormat/>
    <w:rsid w:val="001C353D"/>
    <w:pPr>
      <w:ind w:left="720"/>
      <w:outlineLvl w:val="8"/>
    </w:pPr>
    <w:rPr>
      <w:i/>
    </w:rPr>
  </w:style>
  <w:style w:type="character" w:default="1" w:styleId="DefaultParagraphFont">
    <w:name w:val="Default Paragraph Font"/>
    <w:uiPriority w:val="1"/>
    <w:unhideWhenUsed/>
    <w:rsid w:val="001C3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53D"/>
  </w:style>
  <w:style w:type="character" w:customStyle="1" w:styleId="Heading1Char">
    <w:name w:val="Heading 1 Char"/>
    <w:basedOn w:val="DefaultParagraphFont"/>
    <w:link w:val="Heading1"/>
    <w:rsid w:val="001C353D"/>
    <w:rPr>
      <w:rFonts w:ascii="Times New Roman" w:eastAsia="Times New Roman" w:hAnsi="Times New Roman" w:cs="Times New Roman"/>
      <w:b/>
      <w:sz w:val="32"/>
      <w:szCs w:val="20"/>
      <w:lang w:eastAsia="en-US"/>
    </w:rPr>
  </w:style>
  <w:style w:type="paragraph" w:styleId="BodyText">
    <w:name w:val="Body Text"/>
    <w:basedOn w:val="Normal"/>
    <w:link w:val="BodyTextChar"/>
    <w:rsid w:val="001C35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53D"/>
    <w:rPr>
      <w:rFonts w:ascii="Times New Roman" w:eastAsia="Times New Roman" w:hAnsi="Times New Roman" w:cs="Times New Roman"/>
      <w:sz w:val="24"/>
      <w:lang w:eastAsia="en-US"/>
    </w:rPr>
  </w:style>
  <w:style w:type="paragraph" w:styleId="ListBullet">
    <w:name w:val="List Bullet"/>
    <w:basedOn w:val="List"/>
    <w:rsid w:val="001C353D"/>
    <w:pPr>
      <w:numPr>
        <w:numId w:val="12"/>
      </w:numPr>
      <w:tabs>
        <w:tab w:val="clear" w:pos="340"/>
      </w:tabs>
      <w:spacing w:before="40" w:after="40"/>
    </w:pPr>
  </w:style>
  <w:style w:type="character" w:customStyle="1" w:styleId="SpecialBold">
    <w:name w:val="Special Bold"/>
    <w:basedOn w:val="DefaultParagraphFont"/>
    <w:rsid w:val="001C353D"/>
    <w:rPr>
      <w:b/>
      <w:spacing w:val="0"/>
    </w:rPr>
  </w:style>
  <w:style w:type="paragraph" w:styleId="ListBullet2">
    <w:name w:val="List Bullet 2"/>
    <w:basedOn w:val="List2"/>
    <w:rsid w:val="001C353D"/>
    <w:pPr>
      <w:numPr>
        <w:numId w:val="13"/>
      </w:numPr>
      <w:tabs>
        <w:tab w:val="clear" w:pos="680"/>
      </w:tabs>
    </w:pPr>
  </w:style>
  <w:style w:type="paragraph" w:customStyle="1" w:styleId="SuperHeading">
    <w:name w:val="SuperHeading"/>
    <w:basedOn w:val="Normal"/>
    <w:rsid w:val="001C353D"/>
    <w:pPr>
      <w:spacing w:before="240" w:after="120"/>
      <w:outlineLvl w:val="0"/>
    </w:pPr>
    <w:rPr>
      <w:rFonts w:ascii="Times New Roman" w:hAnsi="Times New Roman"/>
      <w:b/>
      <w:sz w:val="32"/>
    </w:rPr>
  </w:style>
  <w:style w:type="paragraph" w:customStyle="1" w:styleId="AllowPageBreak">
    <w:name w:val="AllowPageBreak"/>
    <w:rsid w:val="001C35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3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53D"/>
    <w:rPr>
      <w:rFonts w:ascii="Courier New" w:eastAsia="Times New Roman" w:hAnsi="Courier New" w:cs="Times New Roman"/>
      <w:i/>
      <w:szCs w:val="20"/>
      <w:lang w:eastAsia="en-US"/>
    </w:rPr>
  </w:style>
  <w:style w:type="paragraph" w:customStyle="1" w:styleId="HeadingBase">
    <w:name w:val="Heading Base"/>
    <w:rsid w:val="001C3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53D"/>
    <w:pPr>
      <w:tabs>
        <w:tab w:val="right" w:leader="dot" w:pos="9072"/>
      </w:tabs>
      <w:ind w:left="567"/>
    </w:pPr>
    <w:rPr>
      <w:szCs w:val="22"/>
    </w:rPr>
  </w:style>
  <w:style w:type="paragraph" w:customStyle="1" w:styleId="TOCBase">
    <w:name w:val="TOC Base"/>
    <w:rsid w:val="001C3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53D"/>
    <w:pPr>
      <w:tabs>
        <w:tab w:val="right" w:leader="dot" w:pos="9072"/>
      </w:tabs>
      <w:spacing w:before="40" w:after="40"/>
      <w:ind w:left="284"/>
    </w:pPr>
    <w:rPr>
      <w:rFonts w:ascii="Times New Roman" w:hAnsi="Times New Roman"/>
    </w:rPr>
  </w:style>
  <w:style w:type="paragraph" w:styleId="TOC1">
    <w:name w:val="toc 1"/>
    <w:basedOn w:val="TOCBase"/>
    <w:next w:val="Normal"/>
    <w:rsid w:val="001C3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53D"/>
    <w:rPr>
      <w:rFonts w:ascii="Times New Roman" w:eastAsia="Times New Roman" w:hAnsi="Times New Roman" w:cs="Times New Roman"/>
      <w:sz w:val="16"/>
      <w:lang w:eastAsia="en-US"/>
    </w:rPr>
  </w:style>
  <w:style w:type="paragraph" w:styleId="Title">
    <w:name w:val="Title"/>
    <w:basedOn w:val="HeadingBase"/>
    <w:link w:val="TitleChar"/>
    <w:qFormat/>
    <w:rsid w:val="001C353D"/>
    <w:pPr>
      <w:spacing w:before="5040"/>
      <w:jc w:val="center"/>
    </w:pPr>
    <w:rPr>
      <w:sz w:val="48"/>
      <w:szCs w:val="72"/>
      <w:lang w:val="en-US"/>
    </w:rPr>
  </w:style>
  <w:style w:type="character" w:customStyle="1" w:styleId="TitleChar">
    <w:name w:val="Title Char"/>
    <w:basedOn w:val="DefaultParagraphFont"/>
    <w:link w:val="Title"/>
    <w:rsid w:val="001C3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53D"/>
    <w:pPr>
      <w:tabs>
        <w:tab w:val="left" w:pos="3600"/>
        <w:tab w:val="left" w:pos="3958"/>
      </w:tabs>
    </w:pPr>
  </w:style>
  <w:style w:type="paragraph" w:styleId="List">
    <w:name w:val="List"/>
    <w:basedOn w:val="BodyText"/>
    <w:next w:val="BodyText"/>
    <w:rsid w:val="001C353D"/>
    <w:pPr>
      <w:tabs>
        <w:tab w:val="left" w:pos="340"/>
      </w:tabs>
      <w:spacing w:before="60" w:after="60"/>
      <w:ind w:left="340" w:hanging="340"/>
    </w:pPr>
  </w:style>
  <w:style w:type="paragraph" w:customStyle="1" w:styleId="Note">
    <w:name w:val="Note"/>
    <w:basedOn w:val="BodyText"/>
    <w:rsid w:val="001C35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53D"/>
    <w:pPr>
      <w:framePr w:wrap="auto" w:hAnchor="text" w:y="6049"/>
    </w:pPr>
    <w:rPr>
      <w:color w:val="000000"/>
      <w:sz w:val="40"/>
    </w:rPr>
  </w:style>
  <w:style w:type="paragraph" w:customStyle="1" w:styleId="TOCTitle">
    <w:name w:val="TOCTitle"/>
    <w:basedOn w:val="Heading1"/>
    <w:rsid w:val="001C353D"/>
    <w:pPr>
      <w:spacing w:after="240"/>
      <w:jc w:val="center"/>
      <w:outlineLvl w:val="9"/>
    </w:pPr>
    <w:rPr>
      <w:caps/>
    </w:rPr>
  </w:style>
  <w:style w:type="paragraph" w:customStyle="1" w:styleId="Version">
    <w:name w:val="Version"/>
    <w:rsid w:val="001C35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53D"/>
    <w:pPr>
      <w:keepNext w:val="0"/>
      <w:tabs>
        <w:tab w:val="right" w:pos="4176"/>
      </w:tabs>
      <w:ind w:left="198" w:hanging="198"/>
    </w:pPr>
    <w:rPr>
      <w:rFonts w:ascii="Garamond" w:hAnsi="Garamond"/>
    </w:rPr>
  </w:style>
  <w:style w:type="paragraph" w:styleId="IndexHeading">
    <w:name w:val="index heading"/>
    <w:basedOn w:val="Normal"/>
    <w:next w:val="Index1"/>
    <w:semiHidden/>
    <w:rsid w:val="001C353D"/>
    <w:pPr>
      <w:spacing w:before="120" w:after="120"/>
    </w:pPr>
    <w:rPr>
      <w:rFonts w:ascii="Arial" w:hAnsi="Arial"/>
      <w:b/>
      <w:color w:val="918585"/>
      <w:sz w:val="24"/>
    </w:rPr>
  </w:style>
  <w:style w:type="paragraph" w:styleId="Header">
    <w:name w:val="header"/>
    <w:basedOn w:val="Normal"/>
    <w:link w:val="HeaderChar"/>
    <w:rsid w:val="001C3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53D"/>
    <w:rPr>
      <w:rFonts w:ascii="Times New Roman" w:eastAsia="Times New Roman" w:hAnsi="Times New Roman" w:cs="Times New Roman"/>
      <w:sz w:val="16"/>
      <w:szCs w:val="20"/>
      <w:lang w:val="en-GB" w:eastAsia="en-US"/>
    </w:rPr>
  </w:style>
  <w:style w:type="paragraph" w:customStyle="1" w:styleId="Chapter">
    <w:name w:val="Chapter"/>
    <w:basedOn w:val="Normal"/>
    <w:rsid w:val="001C353D"/>
    <w:pPr>
      <w:spacing w:before="240"/>
    </w:pPr>
    <w:rPr>
      <w:rFonts w:ascii="Times New Roman" w:hAnsi="Times New Roman"/>
      <w:smallCaps/>
      <w:spacing w:val="80"/>
      <w:sz w:val="28"/>
    </w:rPr>
  </w:style>
  <w:style w:type="paragraph" w:customStyle="1" w:styleId="InChapter">
    <w:name w:val="InChapter"/>
    <w:basedOn w:val="Heading3"/>
    <w:rsid w:val="001C353D"/>
    <w:pPr>
      <w:spacing w:after="240"/>
      <w:outlineLvl w:val="9"/>
    </w:pPr>
    <w:rPr>
      <w:noProof/>
    </w:rPr>
  </w:style>
  <w:style w:type="paragraph" w:styleId="Index2">
    <w:name w:val="index 2"/>
    <w:basedOn w:val="Normal"/>
    <w:next w:val="Normal"/>
    <w:semiHidden/>
    <w:rsid w:val="001C353D"/>
    <w:pPr>
      <w:tabs>
        <w:tab w:val="right" w:pos="4176"/>
      </w:tabs>
      <w:ind w:left="568" w:hanging="284"/>
    </w:pPr>
    <w:rPr>
      <w:rFonts w:ascii="Garamond" w:hAnsi="Garamond"/>
    </w:rPr>
  </w:style>
  <w:style w:type="paragraph" w:customStyle="1" w:styleId="Byline">
    <w:name w:val="Byline"/>
    <w:rsid w:val="001C3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53D"/>
    <w:pPr>
      <w:tabs>
        <w:tab w:val="clear" w:pos="3600"/>
        <w:tab w:val="clear" w:pos="3958"/>
      </w:tabs>
      <w:jc w:val="right"/>
    </w:pPr>
  </w:style>
  <w:style w:type="character" w:styleId="Emphasis">
    <w:name w:val="Emphasis"/>
    <w:basedOn w:val="DefaultParagraphFont"/>
    <w:qFormat/>
    <w:rsid w:val="001C353D"/>
    <w:rPr>
      <w:i/>
    </w:rPr>
  </w:style>
  <w:style w:type="paragraph" w:styleId="Caption">
    <w:name w:val="caption"/>
    <w:basedOn w:val="BodyText"/>
    <w:next w:val="Normal"/>
    <w:qFormat/>
    <w:rsid w:val="001C353D"/>
    <w:pPr>
      <w:framePr w:w="2268" w:hSpace="181" w:vSpace="181" w:wrap="around" w:vAnchor="text" w:hAnchor="page" w:x="1135" w:y="285" w:anchorLock="1"/>
    </w:pPr>
    <w:rPr>
      <w:i/>
    </w:rPr>
  </w:style>
  <w:style w:type="paragraph" w:customStyle="1" w:styleId="MiniTOCTitle">
    <w:name w:val="MiniTOCTitle"/>
    <w:basedOn w:val="Heading4"/>
    <w:rsid w:val="001C353D"/>
    <w:pPr>
      <w:spacing w:before="240"/>
      <w:outlineLvl w:val="9"/>
    </w:pPr>
    <w:rPr>
      <w:noProof/>
      <w:sz w:val="24"/>
    </w:rPr>
  </w:style>
  <w:style w:type="paragraph" w:customStyle="1" w:styleId="MiniTOCItem">
    <w:name w:val="MiniTOCItem"/>
    <w:basedOn w:val="ListBullet"/>
    <w:rsid w:val="001C353D"/>
    <w:pPr>
      <w:numPr>
        <w:numId w:val="0"/>
      </w:numPr>
      <w:tabs>
        <w:tab w:val="right" w:leader="dot" w:pos="6521"/>
      </w:tabs>
      <w:spacing w:before="0" w:after="0"/>
    </w:pPr>
  </w:style>
  <w:style w:type="paragraph" w:customStyle="1" w:styleId="TOFTitle">
    <w:name w:val="TOFTitle"/>
    <w:basedOn w:val="TOCTitle"/>
    <w:rsid w:val="001C353D"/>
  </w:style>
  <w:style w:type="paragraph" w:styleId="TableofFigures">
    <w:name w:val="table of figures"/>
    <w:basedOn w:val="Normal"/>
    <w:next w:val="Normal"/>
    <w:semiHidden/>
    <w:rsid w:val="001C353D"/>
    <w:pPr>
      <w:tabs>
        <w:tab w:val="right" w:leader="dot" w:pos="9072"/>
      </w:tabs>
      <w:ind w:left="970" w:hanging="403"/>
    </w:pPr>
    <w:rPr>
      <w:rFonts w:ascii="Times New Roman" w:hAnsi="Times New Roman"/>
      <w:b/>
    </w:rPr>
  </w:style>
  <w:style w:type="paragraph" w:styleId="ListNumber">
    <w:name w:val="List Number"/>
    <w:basedOn w:val="List"/>
    <w:rsid w:val="001C353D"/>
    <w:pPr>
      <w:numPr>
        <w:numId w:val="15"/>
      </w:numPr>
      <w:tabs>
        <w:tab w:val="clear" w:pos="340"/>
      </w:tabs>
    </w:pPr>
  </w:style>
  <w:style w:type="character" w:customStyle="1" w:styleId="WingdingSymbols">
    <w:name w:val="Wingding Symbols"/>
    <w:rsid w:val="001C353D"/>
    <w:rPr>
      <w:rFonts w:ascii="Wingdings" w:hAnsi="Wingdings"/>
    </w:rPr>
  </w:style>
  <w:style w:type="paragraph" w:customStyle="1" w:styleId="TableHeading">
    <w:name w:val="Table Heading"/>
    <w:basedOn w:val="HeadingBase"/>
    <w:rsid w:val="001C353D"/>
    <w:pPr>
      <w:keepLines/>
      <w:pBdr>
        <w:bottom w:val="single" w:sz="6" w:space="1" w:color="918585"/>
      </w:pBdr>
      <w:spacing w:before="240"/>
    </w:pPr>
  </w:style>
  <w:style w:type="character" w:customStyle="1" w:styleId="HotSpot">
    <w:name w:val="HotSpot"/>
    <w:rsid w:val="001C353D"/>
    <w:rPr>
      <w:color w:val="0033CC"/>
      <w:u w:val="none"/>
    </w:rPr>
  </w:style>
  <w:style w:type="paragraph" w:customStyle="1" w:styleId="BodyTextRight">
    <w:name w:val="Body Text Right"/>
    <w:basedOn w:val="BodyText"/>
    <w:rsid w:val="001C353D"/>
    <w:pPr>
      <w:spacing w:before="0" w:after="0"/>
      <w:jc w:val="right"/>
    </w:pPr>
  </w:style>
  <w:style w:type="paragraph" w:styleId="Index3">
    <w:name w:val="index 3"/>
    <w:basedOn w:val="ListNumber2"/>
    <w:next w:val="Normal"/>
    <w:semiHidden/>
    <w:rsid w:val="001C353D"/>
    <w:pPr>
      <w:numPr>
        <w:numId w:val="0"/>
      </w:numPr>
      <w:tabs>
        <w:tab w:val="right" w:leader="dot" w:pos="4176"/>
      </w:tabs>
    </w:pPr>
  </w:style>
  <w:style w:type="paragraph" w:styleId="ListNumber2">
    <w:name w:val="List Number 2"/>
    <w:basedOn w:val="List2"/>
    <w:rsid w:val="001C353D"/>
    <w:pPr>
      <w:numPr>
        <w:numId w:val="10"/>
      </w:numPr>
      <w:tabs>
        <w:tab w:val="clear" w:pos="1060"/>
      </w:tabs>
    </w:pPr>
  </w:style>
  <w:style w:type="paragraph" w:customStyle="1" w:styleId="MarginNote">
    <w:name w:val="Margin Note"/>
    <w:basedOn w:val="BodyText"/>
    <w:rsid w:val="001C3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53D"/>
    <w:rPr>
      <w:sz w:val="32"/>
    </w:rPr>
  </w:style>
  <w:style w:type="paragraph" w:customStyle="1" w:styleId="HeadingProcedure">
    <w:name w:val="Heading Procedure"/>
    <w:basedOn w:val="HeadingBase"/>
    <w:next w:val="Normal"/>
    <w:rsid w:val="001C353D"/>
    <w:pPr>
      <w:tabs>
        <w:tab w:val="left" w:pos="0"/>
      </w:tabs>
      <w:spacing w:before="120" w:after="60"/>
    </w:pPr>
    <w:rPr>
      <w:i/>
      <w:color w:val="918585"/>
      <w:sz w:val="22"/>
    </w:rPr>
  </w:style>
  <w:style w:type="paragraph" w:customStyle="1" w:styleId="TableBodyText">
    <w:name w:val="Table Body Text"/>
    <w:basedOn w:val="BodyText"/>
    <w:rsid w:val="001C353D"/>
    <w:pPr>
      <w:spacing w:before="60" w:after="60"/>
    </w:pPr>
  </w:style>
  <w:style w:type="paragraph" w:styleId="ListContinue">
    <w:name w:val="List Continue"/>
    <w:basedOn w:val="List"/>
    <w:rsid w:val="001C353D"/>
    <w:pPr>
      <w:ind w:firstLine="0"/>
    </w:pPr>
  </w:style>
  <w:style w:type="paragraph" w:customStyle="1" w:styleId="ListNote">
    <w:name w:val="List Note"/>
    <w:basedOn w:val="List"/>
    <w:rsid w:val="001C353D"/>
    <w:pPr>
      <w:pBdr>
        <w:top w:val="single" w:sz="6" w:space="2" w:color="918585"/>
        <w:bottom w:val="single" w:sz="6" w:space="2" w:color="918585"/>
      </w:pBdr>
      <w:tabs>
        <w:tab w:val="left" w:pos="1021"/>
      </w:tabs>
      <w:ind w:firstLine="0"/>
    </w:pPr>
  </w:style>
  <w:style w:type="paragraph" w:customStyle="1" w:styleId="Warning">
    <w:name w:val="Warning"/>
    <w:basedOn w:val="BodyText"/>
    <w:rsid w:val="001C353D"/>
    <w:pPr>
      <w:shd w:val="clear" w:color="auto" w:fill="D9D9D9"/>
      <w:tabs>
        <w:tab w:val="left" w:pos="992"/>
      </w:tabs>
      <w:ind w:left="119" w:right="119"/>
    </w:pPr>
    <w:rPr>
      <w:sz w:val="20"/>
    </w:rPr>
  </w:style>
  <w:style w:type="paragraph" w:customStyle="1" w:styleId="MarginIcons">
    <w:name w:val="Margin Icons"/>
    <w:basedOn w:val="BodyText"/>
    <w:rsid w:val="001C3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53D"/>
    <w:rPr>
      <w:rFonts w:ascii="Courier New" w:hAnsi="Courier New"/>
    </w:rPr>
  </w:style>
  <w:style w:type="paragraph" w:customStyle="1" w:styleId="NoteBullet">
    <w:name w:val="Note Bullet"/>
    <w:basedOn w:val="Note"/>
    <w:rsid w:val="001C353D"/>
    <w:pPr>
      <w:tabs>
        <w:tab w:val="clear" w:pos="680"/>
      </w:tabs>
      <w:spacing w:before="60" w:after="60"/>
    </w:pPr>
  </w:style>
  <w:style w:type="paragraph" w:customStyle="1" w:styleId="SubHeading2">
    <w:name w:val="SubHeading2"/>
    <w:basedOn w:val="HeadingBase"/>
    <w:rsid w:val="001C353D"/>
    <w:pPr>
      <w:spacing w:before="240" w:after="60"/>
    </w:pPr>
    <w:rPr>
      <w:sz w:val="20"/>
    </w:rPr>
  </w:style>
  <w:style w:type="paragraph" w:customStyle="1" w:styleId="SubHeading1">
    <w:name w:val="SubHeading1"/>
    <w:basedOn w:val="HeadingBase"/>
    <w:rsid w:val="001C353D"/>
    <w:pPr>
      <w:spacing w:before="240" w:after="60"/>
    </w:pPr>
    <w:rPr>
      <w:color w:val="918585"/>
      <w:sz w:val="22"/>
    </w:rPr>
  </w:style>
  <w:style w:type="paragraph" w:customStyle="1" w:styleId="SideHeading">
    <w:name w:val="Side Heading"/>
    <w:basedOn w:val="HeadingBase"/>
    <w:rsid w:val="001C3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53D"/>
    <w:pPr>
      <w:tabs>
        <w:tab w:val="num" w:pos="360"/>
      </w:tabs>
    </w:pPr>
  </w:style>
  <w:style w:type="paragraph" w:styleId="PlainText">
    <w:name w:val="Plain Text"/>
    <w:basedOn w:val="Normal"/>
    <w:link w:val="PlainTextChar"/>
    <w:rsid w:val="001C353D"/>
    <w:rPr>
      <w:sz w:val="20"/>
    </w:rPr>
  </w:style>
  <w:style w:type="character" w:customStyle="1" w:styleId="PlainTextChar">
    <w:name w:val="Plain Text Char"/>
    <w:basedOn w:val="DefaultParagraphFont"/>
    <w:link w:val="PlainText"/>
    <w:rsid w:val="001C353D"/>
    <w:rPr>
      <w:rFonts w:ascii="Courier New" w:eastAsia="Times New Roman" w:hAnsi="Courier New" w:cs="Times New Roman"/>
      <w:sz w:val="20"/>
      <w:szCs w:val="20"/>
      <w:lang w:eastAsia="en-US"/>
    </w:rPr>
  </w:style>
  <w:style w:type="character" w:customStyle="1" w:styleId="MenuOption">
    <w:name w:val="Menu Option"/>
    <w:basedOn w:val="DefaultParagraphFont"/>
    <w:rsid w:val="001C353D"/>
    <w:rPr>
      <w:b/>
      <w:smallCaps/>
    </w:rPr>
  </w:style>
  <w:style w:type="paragraph" w:customStyle="1" w:styleId="TableListNumber">
    <w:name w:val="Table List Number"/>
    <w:basedOn w:val="ListNumber"/>
    <w:rsid w:val="001C353D"/>
    <w:pPr>
      <w:numPr>
        <w:numId w:val="0"/>
      </w:numPr>
    </w:pPr>
  </w:style>
  <w:style w:type="paragraph" w:styleId="TOC4">
    <w:name w:val="toc 4"/>
    <w:basedOn w:val="TOCBase"/>
    <w:next w:val="Normal"/>
    <w:semiHidden/>
    <w:rsid w:val="001C353D"/>
    <w:pPr>
      <w:tabs>
        <w:tab w:val="right" w:leader="dot" w:pos="9071"/>
      </w:tabs>
      <w:ind w:left="1701"/>
    </w:pPr>
  </w:style>
  <w:style w:type="paragraph" w:customStyle="1" w:styleId="ListAlpha">
    <w:name w:val="List Alpha"/>
    <w:basedOn w:val="List"/>
    <w:rsid w:val="001C353D"/>
    <w:pPr>
      <w:numPr>
        <w:numId w:val="9"/>
      </w:numPr>
    </w:pPr>
  </w:style>
  <w:style w:type="paragraph" w:customStyle="1" w:styleId="ListAlpha2">
    <w:name w:val="List Alpha 2"/>
    <w:basedOn w:val="List2"/>
    <w:rsid w:val="001C353D"/>
    <w:pPr>
      <w:numPr>
        <w:numId w:val="8"/>
      </w:numPr>
    </w:pPr>
  </w:style>
  <w:style w:type="paragraph" w:styleId="List2">
    <w:name w:val="List 2"/>
    <w:basedOn w:val="BodyText"/>
    <w:rsid w:val="001C353D"/>
    <w:pPr>
      <w:tabs>
        <w:tab w:val="left" w:pos="680"/>
      </w:tabs>
      <w:spacing w:before="60" w:after="60"/>
      <w:ind w:left="680" w:hanging="340"/>
    </w:pPr>
  </w:style>
  <w:style w:type="paragraph" w:styleId="List3">
    <w:name w:val="List 3"/>
    <w:basedOn w:val="BodyText"/>
    <w:rsid w:val="001C353D"/>
    <w:pPr>
      <w:tabs>
        <w:tab w:val="left" w:pos="1021"/>
      </w:tabs>
      <w:spacing w:before="60" w:after="60"/>
      <w:ind w:left="1020" w:hanging="340"/>
    </w:pPr>
  </w:style>
  <w:style w:type="paragraph" w:styleId="List4">
    <w:name w:val="List 4"/>
    <w:basedOn w:val="BodyText"/>
    <w:rsid w:val="001C353D"/>
    <w:pPr>
      <w:tabs>
        <w:tab w:val="left" w:pos="1361"/>
      </w:tabs>
      <w:spacing w:before="60" w:after="60"/>
      <w:ind w:left="1361" w:hanging="340"/>
    </w:pPr>
  </w:style>
  <w:style w:type="paragraph" w:styleId="List5">
    <w:name w:val="List 5"/>
    <w:basedOn w:val="BodyText"/>
    <w:rsid w:val="001C353D"/>
    <w:pPr>
      <w:tabs>
        <w:tab w:val="left" w:pos="1701"/>
      </w:tabs>
      <w:spacing w:before="60" w:after="60"/>
      <w:ind w:left="1701" w:hanging="340"/>
    </w:pPr>
  </w:style>
  <w:style w:type="paragraph" w:styleId="ListBullet3">
    <w:name w:val="List Bullet 3"/>
    <w:basedOn w:val="List3"/>
    <w:rsid w:val="001C353D"/>
    <w:pPr>
      <w:numPr>
        <w:numId w:val="14"/>
      </w:numPr>
      <w:tabs>
        <w:tab w:val="clear" w:pos="1021"/>
      </w:tabs>
      <w:ind w:left="1037" w:hanging="357"/>
    </w:pPr>
  </w:style>
  <w:style w:type="paragraph" w:styleId="ListBullet4">
    <w:name w:val="List Bullet 4"/>
    <w:basedOn w:val="List4"/>
    <w:rsid w:val="001C353D"/>
    <w:pPr>
      <w:numPr>
        <w:numId w:val="3"/>
      </w:numPr>
      <w:tabs>
        <w:tab w:val="clear" w:pos="1361"/>
      </w:tabs>
    </w:pPr>
  </w:style>
  <w:style w:type="paragraph" w:styleId="ListBullet5">
    <w:name w:val="List Bullet 5"/>
    <w:basedOn w:val="List5"/>
    <w:rsid w:val="001C353D"/>
    <w:pPr>
      <w:numPr>
        <w:numId w:val="4"/>
      </w:numPr>
    </w:pPr>
  </w:style>
  <w:style w:type="paragraph" w:styleId="ListContinue2">
    <w:name w:val="List Continue 2"/>
    <w:basedOn w:val="List2"/>
    <w:rsid w:val="001C353D"/>
    <w:pPr>
      <w:ind w:firstLine="0"/>
    </w:pPr>
  </w:style>
  <w:style w:type="paragraph" w:styleId="ListContinue3">
    <w:name w:val="List Continue 3"/>
    <w:basedOn w:val="List3"/>
    <w:rsid w:val="001C353D"/>
    <w:pPr>
      <w:ind w:left="1021" w:firstLine="0"/>
    </w:pPr>
  </w:style>
  <w:style w:type="paragraph" w:styleId="ListContinue4">
    <w:name w:val="List Continue 4"/>
    <w:basedOn w:val="List4"/>
    <w:rsid w:val="001C353D"/>
    <w:pPr>
      <w:ind w:firstLine="0"/>
    </w:pPr>
  </w:style>
  <w:style w:type="paragraph" w:styleId="ListContinue5">
    <w:name w:val="List Continue 5"/>
    <w:basedOn w:val="List5"/>
    <w:rsid w:val="001C353D"/>
    <w:pPr>
      <w:ind w:firstLine="0"/>
    </w:pPr>
  </w:style>
  <w:style w:type="paragraph" w:styleId="ListNumber3">
    <w:name w:val="List Number 3"/>
    <w:basedOn w:val="List3"/>
    <w:rsid w:val="001C353D"/>
    <w:pPr>
      <w:numPr>
        <w:numId w:val="5"/>
      </w:numPr>
    </w:pPr>
  </w:style>
  <w:style w:type="paragraph" w:styleId="ListNumber4">
    <w:name w:val="List Number 4"/>
    <w:basedOn w:val="List4"/>
    <w:rsid w:val="001C353D"/>
    <w:pPr>
      <w:numPr>
        <w:numId w:val="6"/>
      </w:numPr>
    </w:pPr>
  </w:style>
  <w:style w:type="paragraph" w:styleId="ListNumber5">
    <w:name w:val="List Number 5"/>
    <w:basedOn w:val="List5"/>
    <w:rsid w:val="001C353D"/>
    <w:pPr>
      <w:numPr>
        <w:numId w:val="7"/>
      </w:numPr>
    </w:pPr>
  </w:style>
  <w:style w:type="paragraph" w:styleId="BlockText">
    <w:name w:val="Block Text"/>
    <w:basedOn w:val="Normal"/>
    <w:rsid w:val="001C353D"/>
    <w:pPr>
      <w:spacing w:after="120"/>
      <w:ind w:left="1440" w:right="1440"/>
    </w:pPr>
  </w:style>
  <w:style w:type="character" w:customStyle="1" w:styleId="Subscript">
    <w:name w:val="Subscript"/>
    <w:basedOn w:val="DefaultParagraphFont"/>
    <w:rsid w:val="001C353D"/>
    <w:rPr>
      <w:sz w:val="16"/>
      <w:vertAlign w:val="subscript"/>
    </w:rPr>
  </w:style>
  <w:style w:type="character" w:customStyle="1" w:styleId="Superscript">
    <w:name w:val="Superscript"/>
    <w:basedOn w:val="DefaultParagraphFont"/>
    <w:rsid w:val="001C353D"/>
    <w:rPr>
      <w:sz w:val="16"/>
      <w:vertAlign w:val="superscript"/>
    </w:rPr>
  </w:style>
  <w:style w:type="character" w:customStyle="1" w:styleId="Symbols">
    <w:name w:val="Symbols"/>
    <w:basedOn w:val="DefaultParagraphFont"/>
    <w:rsid w:val="001C353D"/>
    <w:rPr>
      <w:rFonts w:ascii="Symbol" w:hAnsi="Symbol"/>
    </w:rPr>
  </w:style>
  <w:style w:type="character" w:customStyle="1" w:styleId="MenuOptions">
    <w:name w:val="Menu Options"/>
    <w:basedOn w:val="DefaultParagraphFont"/>
    <w:rsid w:val="001C353D"/>
    <w:rPr>
      <w:rFonts w:ascii="Arial Narrow" w:hAnsi="Arial Narrow"/>
      <w:smallCaps/>
    </w:rPr>
  </w:style>
  <w:style w:type="character" w:customStyle="1" w:styleId="Buttons">
    <w:name w:val="Buttons"/>
    <w:basedOn w:val="DefaultParagraphFont"/>
    <w:rsid w:val="001C353D"/>
    <w:rPr>
      <w:b/>
    </w:rPr>
  </w:style>
  <w:style w:type="character" w:customStyle="1" w:styleId="Underlined">
    <w:name w:val="Underlined"/>
    <w:basedOn w:val="DefaultParagraphFont"/>
    <w:rsid w:val="001C353D"/>
    <w:rPr>
      <w:u w:val="single"/>
    </w:rPr>
  </w:style>
  <w:style w:type="paragraph" w:customStyle="1" w:styleId="TableBodyTextRight">
    <w:name w:val="Table Body Text Right"/>
    <w:basedOn w:val="TableBodyText"/>
    <w:rsid w:val="001C353D"/>
    <w:pPr>
      <w:widowControl w:val="0"/>
      <w:autoSpaceDE w:val="0"/>
      <w:autoSpaceDN w:val="0"/>
      <w:adjustRightInd w:val="0"/>
      <w:jc w:val="right"/>
    </w:pPr>
    <w:rPr>
      <w:rFonts w:cs="Arial"/>
      <w:szCs w:val="18"/>
    </w:rPr>
  </w:style>
  <w:style w:type="paragraph" w:customStyle="1" w:styleId="CopyrightText">
    <w:name w:val="Copyright Text"/>
    <w:basedOn w:val="BodyText"/>
    <w:rsid w:val="001C353D"/>
    <w:rPr>
      <w:sz w:val="18"/>
    </w:rPr>
  </w:style>
  <w:style w:type="paragraph" w:customStyle="1" w:styleId="BodySmallRight">
    <w:name w:val="Body Small Right"/>
    <w:basedOn w:val="BodyTextRight"/>
    <w:rsid w:val="001C353D"/>
    <w:rPr>
      <w:sz w:val="18"/>
      <w:szCs w:val="18"/>
    </w:rPr>
  </w:style>
  <w:style w:type="paragraph" w:customStyle="1" w:styleId="MarginEdition">
    <w:name w:val="Margin Edition"/>
    <w:basedOn w:val="MarginNote"/>
    <w:rsid w:val="001C353D"/>
    <w:pPr>
      <w:spacing w:before="0" w:after="0"/>
    </w:pPr>
    <w:rPr>
      <w:rFonts w:ascii="Times New Roman" w:hAnsi="Times New Roman"/>
      <w:color w:val="999999"/>
    </w:rPr>
  </w:style>
  <w:style w:type="paragraph" w:customStyle="1" w:styleId="Spacer">
    <w:name w:val="Spacer"/>
    <w:basedOn w:val="Normal"/>
    <w:rsid w:val="001C353D"/>
    <w:rPr>
      <w:sz w:val="2"/>
      <w:szCs w:val="2"/>
    </w:rPr>
  </w:style>
  <w:style w:type="character" w:customStyle="1" w:styleId="Small">
    <w:name w:val="Small"/>
    <w:basedOn w:val="DefaultParagraphFont"/>
    <w:rsid w:val="001C353D"/>
    <w:rPr>
      <w:sz w:val="16"/>
    </w:rPr>
  </w:style>
  <w:style w:type="paragraph" w:customStyle="1" w:styleId="WideTable">
    <w:name w:val="Wide Table"/>
    <w:basedOn w:val="Normal"/>
    <w:rsid w:val="001C353D"/>
    <w:pPr>
      <w:ind w:left="-1418"/>
    </w:pPr>
    <w:rPr>
      <w:sz w:val="2"/>
      <w:szCs w:val="2"/>
    </w:rPr>
  </w:style>
  <w:style w:type="character" w:styleId="PageNumber">
    <w:name w:val="page number"/>
    <w:basedOn w:val="DefaultParagraphFont"/>
    <w:rsid w:val="001C353D"/>
  </w:style>
  <w:style w:type="paragraph" w:styleId="Quote">
    <w:name w:val="Quote"/>
    <w:basedOn w:val="Heading1"/>
    <w:link w:val="QuoteChar"/>
    <w:qFormat/>
    <w:rsid w:val="001C353D"/>
    <w:rPr>
      <w:b w:val="0"/>
      <w:sz w:val="72"/>
      <w:szCs w:val="72"/>
      <w:lang w:val="en-NZ"/>
    </w:rPr>
  </w:style>
  <w:style w:type="character" w:customStyle="1" w:styleId="QuoteChar">
    <w:name w:val="Quote Char"/>
    <w:basedOn w:val="DefaultParagraphFont"/>
    <w:link w:val="Quote"/>
    <w:rsid w:val="001C3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53D"/>
    <w:pPr>
      <w:pageBreakBefore/>
    </w:pPr>
  </w:style>
  <w:style w:type="paragraph" w:customStyle="1" w:styleId="Border">
    <w:name w:val="Border"/>
    <w:basedOn w:val="Normal"/>
    <w:qFormat/>
    <w:rsid w:val="001C3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53D"/>
    <w:rPr>
      <w:b/>
      <w:bCs/>
      <w:i/>
      <w:iCs/>
      <w:color w:val="auto"/>
    </w:rPr>
  </w:style>
  <w:style w:type="paragraph" w:styleId="IntenseQuote">
    <w:name w:val="Intense Quote"/>
    <w:basedOn w:val="Normal"/>
    <w:next w:val="Normal"/>
    <w:link w:val="IntenseQuoteChar"/>
    <w:uiPriority w:val="30"/>
    <w:qFormat/>
    <w:rsid w:val="001C3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53D"/>
    <w:rPr>
      <w:smallCaps/>
      <w:color w:val="auto"/>
      <w:u w:val="single"/>
    </w:rPr>
  </w:style>
  <w:style w:type="character" w:styleId="IntenseReference">
    <w:name w:val="Intense Reference"/>
    <w:basedOn w:val="DefaultParagraphFont"/>
    <w:uiPriority w:val="32"/>
    <w:qFormat/>
    <w:rsid w:val="001C353D"/>
    <w:rPr>
      <w:b/>
      <w:bCs/>
      <w:smallCaps/>
      <w:color w:val="auto"/>
      <w:spacing w:val="5"/>
      <w:u w:val="single"/>
    </w:rPr>
  </w:style>
  <w:style w:type="paragraph" w:customStyle="1" w:styleId="2ColumnHeading">
    <w:name w:val="2Column Heading"/>
    <w:basedOn w:val="BodyText"/>
    <w:qFormat/>
    <w:rsid w:val="001C353D"/>
    <w:pPr>
      <w:spacing w:after="60"/>
      <w:ind w:left="-2268"/>
    </w:pPr>
    <w:rPr>
      <w:b/>
    </w:rPr>
  </w:style>
  <w:style w:type="paragraph" w:customStyle="1" w:styleId="Heading1TOC">
    <w:name w:val="Heading1 TOC"/>
    <w:basedOn w:val="Normal"/>
    <w:qFormat/>
    <w:rsid w:val="001C353D"/>
    <w:pPr>
      <w:spacing w:before="240" w:after="120"/>
    </w:pPr>
    <w:rPr>
      <w:rFonts w:ascii="Times New Roman" w:hAnsi="Times New Roman"/>
      <w:b/>
      <w:sz w:val="32"/>
    </w:rPr>
  </w:style>
  <w:style w:type="paragraph" w:customStyle="1" w:styleId="Heading2TOC">
    <w:name w:val="Heading2 TOC"/>
    <w:basedOn w:val="Normal"/>
    <w:qFormat/>
    <w:rsid w:val="001C353D"/>
    <w:pPr>
      <w:spacing w:before="240" w:after="60"/>
    </w:pPr>
    <w:rPr>
      <w:rFonts w:ascii="Times New Roman" w:hAnsi="Times New Roman"/>
      <w:b/>
      <w:sz w:val="28"/>
    </w:rPr>
  </w:style>
  <w:style w:type="character" w:customStyle="1" w:styleId="Underline">
    <w:name w:val="Underline"/>
    <w:basedOn w:val="DefaultParagraphFont"/>
    <w:qFormat/>
    <w:rsid w:val="001C353D"/>
    <w:rPr>
      <w:u w:val="single"/>
    </w:rPr>
  </w:style>
  <w:style w:type="character" w:customStyle="1" w:styleId="BoldandItalics">
    <w:name w:val="Bold and Italics"/>
    <w:qFormat/>
    <w:rsid w:val="001C353D"/>
    <w:rPr>
      <w:b/>
      <w:i/>
      <w:u w:val="none"/>
    </w:rPr>
  </w:style>
  <w:style w:type="paragraph" w:styleId="BalloonText">
    <w:name w:val="Balloon Text"/>
    <w:basedOn w:val="Normal"/>
    <w:link w:val="BalloonTextChar"/>
    <w:rsid w:val="001C353D"/>
    <w:rPr>
      <w:rFonts w:ascii="Tahoma" w:hAnsi="Tahoma" w:cs="Tahoma"/>
      <w:sz w:val="16"/>
      <w:szCs w:val="16"/>
    </w:rPr>
  </w:style>
  <w:style w:type="character" w:customStyle="1" w:styleId="BalloonTextChar">
    <w:name w:val="Balloon Text Char"/>
    <w:basedOn w:val="DefaultParagraphFont"/>
    <w:link w:val="BalloonText"/>
    <w:rsid w:val="001C3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5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53D"/>
    <w:rPr>
      <w:b/>
      <w:color w:val="660033"/>
      <w:spacing w:val="0"/>
    </w:rPr>
  </w:style>
  <w:style w:type="paragraph" w:customStyle="1" w:styleId="Nameditemlist">
    <w:name w:val="Named item list"/>
    <w:basedOn w:val="BodyText"/>
    <w:qFormat/>
    <w:rsid w:val="001C353D"/>
    <w:pPr>
      <w:tabs>
        <w:tab w:val="left" w:pos="2835"/>
      </w:tabs>
      <w:ind w:left="2835" w:hanging="2835"/>
    </w:pPr>
  </w:style>
  <w:style w:type="paragraph" w:customStyle="1" w:styleId="BodyTextnopadding">
    <w:name w:val="Body Text no padding"/>
    <w:basedOn w:val="BodyText"/>
    <w:qFormat/>
    <w:rsid w:val="001C353D"/>
    <w:pPr>
      <w:spacing w:before="0" w:after="0"/>
    </w:pPr>
  </w:style>
  <w:style w:type="paragraph" w:customStyle="1" w:styleId="BodyTextBold">
    <w:name w:val="Body Text Bold"/>
    <w:basedOn w:val="BodyText"/>
    <w:qFormat/>
    <w:rsid w:val="001C353D"/>
    <w:rPr>
      <w:b/>
    </w:rPr>
  </w:style>
  <w:style w:type="character" w:styleId="Hyperlink">
    <w:name w:val="Hyperlink"/>
    <w:basedOn w:val="DefaultParagraphFont"/>
    <w:uiPriority w:val="99"/>
    <w:unhideWhenUsed/>
    <w:rsid w:val="00E56F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6711</Characters>
  <Application>Microsoft Office Word</Application>
  <DocSecurity>0</DocSecurity>
  <Lines>209</Lines>
  <Paragraphs>115</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DEFGEN310 Establish technical risk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