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B31" w:rsidP="00991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DEFGEN008 Treat risk within Defence at an operational level</w:t>
      </w:r>
      <w:r>
        <w:fldChar w:fldCharType="end"/>
      </w:r>
    </w:p>
    <w:p w:rsidR="00991B31" w:rsidP="00991B31">
      <w:pPr>
        <w:pStyle w:val="Version"/>
        <w:sectPr w:rsidSect="00BF1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1B74" w:rsidP="00BF1B74">
      <w:pPr>
        <w:pStyle w:val="SuperHeading"/>
      </w:pPr>
      <w:r w:rsidRPr="00BF1B74">
        <w:t>DEFGEN008 Treat risk within Defence at an operational level</w:t>
      </w:r>
    </w:p>
    <w:p w:rsidR="00000000" w:rsidRPr="00BF1B74" w:rsidP="00BF1B74">
      <w:pPr>
        <w:pStyle w:val="Heading1"/>
      </w:pPr>
      <w:bookmarkStart w:id="1" w:name="O_1098960"/>
      <w:bookmarkEnd w:id="1"/>
      <w:r w:rsidRPr="00BF1B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Release 2. Modifications made to Assessment Conditions.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Release 1. This unit was released in DEF Defence Training Package release 1.0 and meets the Standards for Training Packages.</w:t>
            </w:r>
          </w:p>
          <w:p w:rsidR="00000000" w:rsidRPr="00BF1B74" w:rsidP="00BF1B74">
            <w:pPr>
              <w:pStyle w:val="BodyText"/>
            </w:pPr>
            <w:r w:rsidRPr="00BF1B74">
              <w:t>This unit supersedes and is equival</w:t>
            </w:r>
            <w:r w:rsidRPr="00BF1B74">
              <w:t>ent to DEFRI001B Treat risk within Defence at an operational level.</w:t>
            </w:r>
          </w:p>
          <w:p w:rsidR="00000000" w:rsidRPr="00BF1B74" w:rsidP="00BF1B74">
            <w:pPr>
              <w:pStyle w:val="ListBullet"/>
            </w:pPr>
            <w:r w:rsidRPr="00BF1B74">
              <w:t>Unit code updated</w:t>
            </w:r>
          </w:p>
          <w:p w:rsidR="00000000" w:rsidRPr="00BF1B74" w:rsidP="00BF1B74">
            <w:pPr>
              <w:pStyle w:val="ListBullet"/>
            </w:pPr>
            <w:r w:rsidRPr="00BF1B74">
              <w:t>Content and formatting updated to comply with new standards</w:t>
            </w:r>
          </w:p>
          <w:p w:rsidR="00000000" w:rsidRPr="00BF1B74" w:rsidP="00BF1B74">
            <w:pPr>
              <w:pStyle w:val="ListBullet"/>
            </w:pPr>
            <w:r w:rsidRPr="00BF1B74">
              <w:t>All PC transitioned from passive to active voice</w:t>
            </w:r>
          </w:p>
          <w:p w:rsidR="00000000" w:rsidRPr="00BF1B74" w:rsidP="00BF1B74">
            <w:pPr>
              <w:pStyle w:val="ListBullet"/>
            </w:pPr>
            <w:r w:rsidRPr="00BF1B74">
              <w:t>Elements 2 and 3 merged</w:t>
            </w:r>
          </w:p>
          <w:p w:rsidR="00000000" w:rsidRPr="00BF1B74" w:rsidP="00BF1B74">
            <w:pPr>
              <w:pStyle w:val="ListBullet"/>
            </w:pPr>
            <w:r w:rsidRPr="00BF1B74">
              <w:t>Element 4 wording revised</w:t>
            </w:r>
          </w:p>
          <w:p w:rsidR="00000000" w:rsidRPr="00BF1B74" w:rsidP="00BF1B74">
            <w:pPr>
              <w:pStyle w:val="ListBullet"/>
            </w:pPr>
            <w:r w:rsidRPr="00BF1B74">
              <w:t xml:space="preserve">All PC in </w:t>
            </w:r>
            <w:r w:rsidRPr="00BF1B74">
              <w:t>elements 2, 3 and 4 revised</w:t>
            </w:r>
          </w:p>
        </w:tc>
      </w:tr>
    </w:tbl>
    <w:p w:rsidR="00991B31" w:rsidP="00BF1B74">
      <w:pPr>
        <w:pStyle w:val="NoPaddingFontSize1"/>
      </w:pPr>
    </w:p>
    <w:p w:rsidR="00991B31" w:rsidP="00BF1B74">
      <w:pPr>
        <w:pStyle w:val="NoPaddingFontSize1"/>
      </w:pPr>
    </w:p>
    <w:p w:rsidR="00000000" w:rsidRPr="00BF1B74" w:rsidP="00BF1B74">
      <w:pPr>
        <w:pStyle w:val="Heading1"/>
      </w:pPr>
      <w:bookmarkStart w:id="2" w:name="O_1098959"/>
      <w:bookmarkEnd w:id="2"/>
      <w:r w:rsidRPr="00BF1B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This unit involves the skills and knowledge required to treat risk within Defence at an operational level.</w:t>
            </w:r>
          </w:p>
          <w:p w:rsidR="00000000" w:rsidRPr="00BF1B74" w:rsidP="00BF1B74">
            <w:pPr>
              <w:pStyle w:val="BodyText"/>
            </w:pPr>
            <w:r w:rsidRPr="00BF1B74">
              <w:t>It includes the skills required to identify, plan and implement treatment options in order to reduce risk.</w:t>
            </w:r>
          </w:p>
          <w:p w:rsidR="00000000" w:rsidRPr="00BF1B74" w:rsidP="00BF1B74">
            <w:pPr>
              <w:pStyle w:val="BodyText"/>
            </w:pPr>
            <w:r w:rsidRPr="00BF1B74">
              <w:t xml:space="preserve">This unit applies to Defence personnel required to treat risk but may be relevant to others working in this field. Those undertaking this unit would </w:t>
            </w:r>
            <w:r w:rsidRPr="00BF1B74">
              <w:t xml:space="preserve">work both independently and as part of a team, while performing routine tasks to apply unknown solutions to a variety of unpredictable problems. They would normally have local supervisory or management responsibility and apply known solutions to a variety </w:t>
            </w:r>
            <w:r w:rsidRPr="00BF1B74">
              <w:t>of predicable problems.</w:t>
            </w:r>
          </w:p>
          <w:p w:rsidR="00000000" w:rsidRPr="00BF1B74" w:rsidP="00BF1B74">
            <w:pPr>
              <w:pStyle w:val="BodyText"/>
            </w:pPr>
            <w:r w:rsidRPr="00BF1B74">
              <w:t>No licensing, legislative or certification requirements apply to this unit at the time of publication.</w:t>
            </w:r>
          </w:p>
        </w:tc>
      </w:tr>
    </w:tbl>
    <w:p w:rsidR="00991B31" w:rsidP="00BF1B74">
      <w:pPr>
        <w:pStyle w:val="NoPaddingFontSize1"/>
      </w:pPr>
    </w:p>
    <w:p w:rsidR="00991B31" w:rsidP="00BF1B74">
      <w:pPr>
        <w:pStyle w:val="NoPaddingFontSize1"/>
      </w:pPr>
    </w:p>
    <w:p w:rsidR="00000000" w:rsidRPr="00BF1B74" w:rsidP="00BF1B74">
      <w:pPr>
        <w:pStyle w:val="Heading1"/>
      </w:pPr>
      <w:bookmarkStart w:id="3" w:name="O_1106683"/>
      <w:bookmarkEnd w:id="3"/>
      <w:r w:rsidRPr="00BF1B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Not applicable.</w:t>
            </w:r>
          </w:p>
        </w:tc>
      </w:tr>
    </w:tbl>
    <w:p w:rsidR="00991B31" w:rsidP="00BF1B74">
      <w:pPr>
        <w:pStyle w:val="NoPaddingFontSize1"/>
      </w:pPr>
    </w:p>
    <w:p w:rsidR="00991B31" w:rsidP="00BF1B74">
      <w:pPr>
        <w:pStyle w:val="NoPaddingFontSize1"/>
      </w:pPr>
    </w:p>
    <w:p w:rsidR="00000000" w:rsidRPr="00BF1B74" w:rsidP="00BF1B74">
      <w:pPr>
        <w:pStyle w:val="Heading1"/>
      </w:pPr>
      <w:bookmarkStart w:id="4" w:name="O_1098958"/>
      <w:bookmarkEnd w:id="4"/>
      <w:r w:rsidRPr="00BF1B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General</w:t>
            </w:r>
          </w:p>
        </w:tc>
      </w:tr>
    </w:tbl>
    <w:p w:rsidR="00991B31" w:rsidP="00BF1B74">
      <w:pPr>
        <w:pStyle w:val="BodyText"/>
      </w:pPr>
    </w:p>
    <w:p w:rsidR="00991B31" w:rsidP="00BF1B74">
      <w:pPr>
        <w:pStyle w:val="BodyText"/>
      </w:pPr>
    </w:p>
    <w:p w:rsidR="00000000" w:rsidRPr="00BF1B74" w:rsidP="00BF1B74">
      <w:pPr>
        <w:pStyle w:val="Heading1"/>
      </w:pPr>
      <w:bookmarkStart w:id="5" w:name="O_1106684"/>
      <w:bookmarkEnd w:id="5"/>
      <w:r w:rsidRPr="00BF1B74">
        <w:t>Uni</w:t>
      </w:r>
      <w:r w:rsidRPr="00BF1B74">
        <w:t>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Not applicable.</w:t>
            </w:r>
          </w:p>
        </w:tc>
      </w:tr>
    </w:tbl>
    <w:p w:rsidR="00991B31" w:rsidP="00BF1B74">
      <w:pPr>
        <w:pStyle w:val="NoPaddingFontSize1"/>
      </w:pPr>
    </w:p>
    <w:p w:rsidR="00991B31" w:rsidP="00BF1B74">
      <w:pPr>
        <w:pStyle w:val="NoPaddingFontSize1"/>
      </w:pPr>
    </w:p>
    <w:p w:rsidR="00000000" w:rsidRPr="00BF1B74" w:rsidP="00BF1B74">
      <w:pPr>
        <w:pStyle w:val="Heading1"/>
      </w:pPr>
      <w:bookmarkStart w:id="6" w:name="O_1098957"/>
      <w:bookmarkEnd w:id="6"/>
      <w:r w:rsidRPr="00BF1B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PERFORMANCE CRITERIA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Performance criteria describe the performance needed to demonstrate achievement of the element.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rPr>
                <w:rStyle w:val="SpecialBold"/>
              </w:rPr>
              <w:t>Make risk decision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Calculate the level of risk and compare it to the established risk evaluation criteria in consultation with the supervisor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Document unacceptable risk and note for treatment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rPr>
                <w:rStyle w:val="SpecialBold"/>
              </w:rPr>
              <w:t>Implement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Identify and confi</w:t>
            </w:r>
            <w:r w:rsidRPr="00BF1B74">
              <w:t>rm the treatment options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Evaluate and record the effectiveness of treatment options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Implement treatment plans with selected options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rPr>
                <w:rStyle w:val="SpecialBold"/>
              </w:rPr>
              <w:t>Monitor and review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Evaluate treatment plans to determine residual risk after implementation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>Monitor, review and report on the effectiveness of the treatment plan to ensure compliance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t xml:space="preserve">Calculate the residual risk and report to supervisor </w:t>
            </w:r>
          </w:p>
        </w:tc>
      </w:tr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B74">
            <w:pPr>
              <w:pStyle w:val="BodyText"/>
              <w:rPr>
                <w:lang w:val="en-NZ"/>
              </w:rPr>
            </w:pPr>
            <w:r w:rsidRPr="00BF1B7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Adjust treatments and record the review process</w:t>
            </w:r>
          </w:p>
        </w:tc>
      </w:tr>
    </w:tbl>
    <w:p w:rsidR="00991B31" w:rsidP="00BF1B74">
      <w:pPr>
        <w:pStyle w:val="NoPaddingFontSize1"/>
      </w:pPr>
    </w:p>
    <w:p w:rsidR="00991B31" w:rsidP="00BF1B74">
      <w:pPr>
        <w:pStyle w:val="NoPaddingFontSize1"/>
      </w:pPr>
    </w:p>
    <w:p w:rsidR="00000000" w:rsidRPr="00BF1B74" w:rsidP="00BF1B74">
      <w:pPr>
        <w:pStyle w:val="Heading1"/>
      </w:pPr>
      <w:bookmarkStart w:id="7" w:name="O_1098956"/>
      <w:bookmarkEnd w:id="7"/>
      <w:r w:rsidRPr="00BF1B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Foundation skills essential to performance are explicit in the performance criteria of this unit of competency.</w:t>
            </w:r>
          </w:p>
        </w:tc>
      </w:tr>
    </w:tbl>
    <w:p w:rsidR="00991B31" w:rsidP="00BF1B74">
      <w:pPr>
        <w:pStyle w:val="NoPaddingFontSize1"/>
      </w:pPr>
    </w:p>
    <w:p w:rsidR="00991B31" w:rsidP="00BF1B74">
      <w:pPr>
        <w:pStyle w:val="NoPaddingFontSize1"/>
      </w:pPr>
    </w:p>
    <w:p w:rsidR="00000000" w:rsidRPr="00BF1B74" w:rsidP="00BF1B74">
      <w:pPr>
        <w:pStyle w:val="Heading1"/>
      </w:pPr>
      <w:bookmarkStart w:id="8" w:name="O_1106685"/>
      <w:bookmarkEnd w:id="8"/>
      <w:r w:rsidRPr="00BF1B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Range is restricted to essential operating conditions and any other variables essential to the work environment.</w:t>
            </w:r>
          </w:p>
          <w:p w:rsidR="00000000" w:rsidRPr="00BF1B74" w:rsidP="00BF1B74">
            <w:pPr>
              <w:pStyle w:val="BodyText"/>
            </w:pPr>
            <w:r w:rsidRPr="00BF1B74">
              <w:t>Non-essential conditions may be found in the Companion Volume Implementation Guide.</w:t>
            </w:r>
          </w:p>
        </w:tc>
      </w:tr>
    </w:tbl>
    <w:p w:rsidR="00991B31" w:rsidP="00BF1B74">
      <w:pPr>
        <w:pStyle w:val="NoPaddingFontSize1"/>
      </w:pPr>
    </w:p>
    <w:p w:rsidR="00991B31" w:rsidP="00BF1B74">
      <w:pPr>
        <w:pStyle w:val="NoPaddingFontSize1"/>
      </w:pPr>
    </w:p>
    <w:p w:rsidR="00000000" w:rsidRPr="00BF1B74" w:rsidP="00BF1B74">
      <w:pPr>
        <w:pStyle w:val="Heading1"/>
      </w:pPr>
      <w:bookmarkStart w:id="9" w:name="O_1098955"/>
      <w:bookmarkEnd w:id="9"/>
      <w:r w:rsidRPr="00BF1B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B74" w:rsidP="00BF1B74">
            <w:pPr>
              <w:pStyle w:val="BodyText"/>
            </w:pPr>
            <w:r w:rsidRPr="00BF1B74">
              <w:t>This unit su</w:t>
            </w:r>
            <w:r w:rsidRPr="00BF1B74">
              <w:t>persedes and is equivalent to DEFRI001B Treat risk within Defence at an operational level.</w:t>
            </w:r>
          </w:p>
        </w:tc>
      </w:tr>
    </w:tbl>
    <w:p w:rsidR="00991B31" w:rsidP="00BF1B74">
      <w:pPr>
        <w:pStyle w:val="NoPaddingFontSize1"/>
      </w:pPr>
    </w:p>
    <w:p w:rsidR="00991B31" w:rsidP="00BF1B74">
      <w:pPr>
        <w:pStyle w:val="NoPaddingFontSize1"/>
      </w:pPr>
    </w:p>
    <w:p w:rsidR="00000000" w:rsidRPr="00BF1B74" w:rsidP="00BF1B74">
      <w:pPr>
        <w:pStyle w:val="Heading1"/>
      </w:pPr>
      <w:bookmarkStart w:id="10" w:name="O_1098961"/>
      <w:bookmarkEnd w:id="10"/>
      <w:r w:rsidRPr="00BF1B74">
        <w:t>Links</w:t>
      </w:r>
    </w:p>
    <w:p w:rsidR="00000000" w:rsidRPr="00BF1B74" w:rsidP="00991B31">
      <w:pPr>
        <w:pStyle w:val="BodyText"/>
      </w:pPr>
      <w:r w:rsidRPr="00BF1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37D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F1B74" w:rsidP="00BF1B74"/>
    <w:sectPr w:rsidSect="00BF1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B74" w:rsidRPr="00991B31" w:rsidP="00991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1" w:rsidP="00BF1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B31" w:rsidP="00BF1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91B31" w:rsidP="00BF1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B74" w:rsidRPr="00991B31" w:rsidP="00991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1" w:rsidRPr="002D2AF8" w:rsidP="00BF1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DEFGEN008 Treat risk within Defence at an operational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91B31" w:rsidP="00BF1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CEA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BA3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B74"/>
  </w:style>
  <w:style w:type="character" w:customStyle="1" w:styleId="Heading1Char">
    <w:name w:val="Heading 1 Char"/>
    <w:basedOn w:val="DefaultParagraphFont"/>
    <w:link w:val="Heading1"/>
    <w:rsid w:val="00BF1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B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B74"/>
    <w:rPr>
      <w:b/>
      <w:spacing w:val="0"/>
    </w:rPr>
  </w:style>
  <w:style w:type="paragraph" w:customStyle="1" w:styleId="SuperHeading">
    <w:name w:val="SuperHeading"/>
    <w:basedOn w:val="Normal"/>
    <w:rsid w:val="00BF1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1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B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B74"/>
    <w:rPr>
      <w:i/>
    </w:rPr>
  </w:style>
  <w:style w:type="paragraph" w:styleId="Caption">
    <w:name w:val="caption"/>
    <w:basedOn w:val="BodyText"/>
    <w:next w:val="Normal"/>
    <w:qFormat/>
    <w:rsid w:val="00BF1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B74"/>
  </w:style>
  <w:style w:type="paragraph" w:styleId="TableofFigures">
    <w:name w:val="table of figures"/>
    <w:basedOn w:val="Normal"/>
    <w:next w:val="Normal"/>
    <w:semiHidden/>
    <w:rsid w:val="00BF1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B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B74"/>
    <w:rPr>
      <w:rFonts w:ascii="Wingdings" w:hAnsi="Wingdings"/>
    </w:rPr>
  </w:style>
  <w:style w:type="paragraph" w:customStyle="1" w:styleId="TableHeading">
    <w:name w:val="Table Heading"/>
    <w:basedOn w:val="HeadingBase"/>
    <w:rsid w:val="00BF1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B74"/>
    <w:rPr>
      <w:color w:val="0033CC"/>
      <w:u w:val="none"/>
    </w:rPr>
  </w:style>
  <w:style w:type="paragraph" w:customStyle="1" w:styleId="BodyTextRight">
    <w:name w:val="Body Text Right"/>
    <w:basedOn w:val="BodyText"/>
    <w:rsid w:val="00BF1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B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B74"/>
    <w:rPr>
      <w:sz w:val="32"/>
    </w:rPr>
  </w:style>
  <w:style w:type="paragraph" w:customStyle="1" w:styleId="HeadingProcedure">
    <w:name w:val="Heading Procedure"/>
    <w:basedOn w:val="HeadingBase"/>
    <w:next w:val="Normal"/>
    <w:rsid w:val="00BF1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B74"/>
    <w:pPr>
      <w:spacing w:before="60" w:after="60"/>
    </w:pPr>
  </w:style>
  <w:style w:type="paragraph" w:styleId="ListContinue">
    <w:name w:val="List Continue"/>
    <w:basedOn w:val="List"/>
    <w:rsid w:val="00BF1B74"/>
    <w:pPr>
      <w:ind w:firstLine="0"/>
    </w:pPr>
  </w:style>
  <w:style w:type="paragraph" w:customStyle="1" w:styleId="ListNote">
    <w:name w:val="List Note"/>
    <w:basedOn w:val="List"/>
    <w:rsid w:val="00BF1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B74"/>
    <w:rPr>
      <w:rFonts w:ascii="Courier New" w:hAnsi="Courier New"/>
    </w:rPr>
  </w:style>
  <w:style w:type="paragraph" w:customStyle="1" w:styleId="NoteBullet">
    <w:name w:val="Note Bullet"/>
    <w:basedOn w:val="Note"/>
    <w:rsid w:val="00BF1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B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B74"/>
    <w:rPr>
      <w:b/>
      <w:smallCaps/>
    </w:rPr>
  </w:style>
  <w:style w:type="paragraph" w:customStyle="1" w:styleId="TableListNumber">
    <w:name w:val="Table List Number"/>
    <w:basedOn w:val="ListNumber"/>
    <w:rsid w:val="00BF1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B74"/>
    <w:pPr>
      <w:numPr>
        <w:numId w:val="8"/>
      </w:numPr>
    </w:pPr>
  </w:style>
  <w:style w:type="paragraph" w:customStyle="1" w:styleId="ListAlpha2">
    <w:name w:val="List Alpha 2"/>
    <w:basedOn w:val="List2"/>
    <w:rsid w:val="00BF1B74"/>
    <w:pPr>
      <w:numPr>
        <w:numId w:val="7"/>
      </w:numPr>
    </w:pPr>
  </w:style>
  <w:style w:type="paragraph" w:styleId="List2">
    <w:name w:val="List 2"/>
    <w:basedOn w:val="BodyText"/>
    <w:rsid w:val="00BF1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B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B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B74"/>
    <w:pPr>
      <w:numPr>
        <w:numId w:val="3"/>
      </w:numPr>
    </w:pPr>
  </w:style>
  <w:style w:type="paragraph" w:styleId="ListContinue2">
    <w:name w:val="List Continue 2"/>
    <w:basedOn w:val="List2"/>
    <w:rsid w:val="00BF1B74"/>
    <w:pPr>
      <w:ind w:firstLine="0"/>
    </w:pPr>
  </w:style>
  <w:style w:type="paragraph" w:styleId="ListContinue3">
    <w:name w:val="List Continue 3"/>
    <w:basedOn w:val="List3"/>
    <w:rsid w:val="00BF1B74"/>
    <w:pPr>
      <w:ind w:left="1021" w:firstLine="0"/>
    </w:pPr>
  </w:style>
  <w:style w:type="paragraph" w:styleId="ListContinue4">
    <w:name w:val="List Continue 4"/>
    <w:basedOn w:val="List4"/>
    <w:rsid w:val="00BF1B74"/>
    <w:pPr>
      <w:ind w:firstLine="0"/>
    </w:pPr>
  </w:style>
  <w:style w:type="paragraph" w:styleId="ListContinue5">
    <w:name w:val="List Continue 5"/>
    <w:basedOn w:val="List5"/>
    <w:rsid w:val="00BF1B74"/>
    <w:pPr>
      <w:ind w:firstLine="0"/>
    </w:pPr>
  </w:style>
  <w:style w:type="paragraph" w:styleId="ListNumber3">
    <w:name w:val="List Number 3"/>
    <w:basedOn w:val="List3"/>
    <w:rsid w:val="00BF1B74"/>
    <w:pPr>
      <w:numPr>
        <w:numId w:val="4"/>
      </w:numPr>
    </w:pPr>
  </w:style>
  <w:style w:type="paragraph" w:styleId="ListNumber4">
    <w:name w:val="List Number 4"/>
    <w:basedOn w:val="List4"/>
    <w:rsid w:val="00BF1B74"/>
    <w:pPr>
      <w:numPr>
        <w:numId w:val="5"/>
      </w:numPr>
    </w:pPr>
  </w:style>
  <w:style w:type="paragraph" w:styleId="ListNumber5">
    <w:name w:val="List Number 5"/>
    <w:basedOn w:val="List5"/>
    <w:rsid w:val="00BF1B74"/>
    <w:pPr>
      <w:numPr>
        <w:numId w:val="6"/>
      </w:numPr>
    </w:pPr>
  </w:style>
  <w:style w:type="paragraph" w:styleId="BlockText">
    <w:name w:val="Block Text"/>
    <w:basedOn w:val="Normal"/>
    <w:rsid w:val="00BF1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B74"/>
    <w:rPr>
      <w:sz w:val="16"/>
      <w:vertAlign w:val="superscript"/>
    </w:rPr>
  </w:style>
  <w:style w:type="character" w:customStyle="1" w:styleId="Symbols">
    <w:name w:val="Symbols"/>
    <w:basedOn w:val="DefaultParagraphFont"/>
    <w:rsid w:val="00BF1B74"/>
    <w:rPr>
      <w:rFonts w:ascii="Symbol" w:hAnsi="Symbol"/>
    </w:rPr>
  </w:style>
  <w:style w:type="character" w:customStyle="1" w:styleId="MenuOptions">
    <w:name w:val="Menu Options"/>
    <w:basedOn w:val="DefaultParagraphFont"/>
    <w:rsid w:val="00BF1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B74"/>
    <w:rPr>
      <w:b/>
    </w:rPr>
  </w:style>
  <w:style w:type="character" w:customStyle="1" w:styleId="Underlined">
    <w:name w:val="Underlined"/>
    <w:basedOn w:val="DefaultParagraphFont"/>
    <w:rsid w:val="00BF1B74"/>
    <w:rPr>
      <w:u w:val="single"/>
    </w:rPr>
  </w:style>
  <w:style w:type="paragraph" w:customStyle="1" w:styleId="TableBodyTextRight">
    <w:name w:val="Table Body Text Right"/>
    <w:basedOn w:val="TableBodyText"/>
    <w:rsid w:val="00BF1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B74"/>
    <w:rPr>
      <w:sz w:val="18"/>
    </w:rPr>
  </w:style>
  <w:style w:type="paragraph" w:customStyle="1" w:styleId="BodySmallRight">
    <w:name w:val="Body Small Right"/>
    <w:basedOn w:val="BodyTextRight"/>
    <w:rsid w:val="00BF1B74"/>
    <w:rPr>
      <w:sz w:val="18"/>
      <w:szCs w:val="18"/>
    </w:rPr>
  </w:style>
  <w:style w:type="paragraph" w:customStyle="1" w:styleId="MarginEdition">
    <w:name w:val="Margin Edition"/>
    <w:basedOn w:val="MarginNote"/>
    <w:rsid w:val="00BF1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B74"/>
    <w:rPr>
      <w:sz w:val="2"/>
      <w:szCs w:val="2"/>
    </w:rPr>
  </w:style>
  <w:style w:type="character" w:customStyle="1" w:styleId="Small">
    <w:name w:val="Small"/>
    <w:basedOn w:val="DefaultParagraphFont"/>
    <w:rsid w:val="00BF1B74"/>
    <w:rPr>
      <w:sz w:val="16"/>
    </w:rPr>
  </w:style>
  <w:style w:type="paragraph" w:customStyle="1" w:styleId="WideTable">
    <w:name w:val="Wide Table"/>
    <w:basedOn w:val="Normal"/>
    <w:rsid w:val="00BF1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B74"/>
  </w:style>
  <w:style w:type="paragraph" w:styleId="Quote">
    <w:name w:val="Quote"/>
    <w:basedOn w:val="Heading1"/>
    <w:link w:val="QuoteChar"/>
    <w:qFormat/>
    <w:rsid w:val="00BF1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B74"/>
    <w:pPr>
      <w:pageBreakBefore/>
    </w:pPr>
  </w:style>
  <w:style w:type="paragraph" w:customStyle="1" w:styleId="Border">
    <w:name w:val="Border"/>
    <w:basedOn w:val="Normal"/>
    <w:qFormat/>
    <w:rsid w:val="00BF1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B74"/>
    <w:rPr>
      <w:u w:val="single"/>
    </w:rPr>
  </w:style>
  <w:style w:type="character" w:customStyle="1" w:styleId="BoldandItalics">
    <w:name w:val="Bold and Italics"/>
    <w:qFormat/>
    <w:rsid w:val="00BF1B74"/>
    <w:rPr>
      <w:b/>
      <w:i/>
      <w:u w:val="none"/>
    </w:rPr>
  </w:style>
  <w:style w:type="paragraph" w:styleId="BalloonText">
    <w:name w:val="Balloon Text"/>
    <w:basedOn w:val="Normal"/>
    <w:link w:val="BalloonTextChar"/>
    <w:rsid w:val="00BF1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B74"/>
    <w:pPr>
      <w:spacing w:before="0" w:after="0"/>
    </w:pPr>
  </w:style>
  <w:style w:type="paragraph" w:customStyle="1" w:styleId="BodyTextBold">
    <w:name w:val="Body Text Bold"/>
    <w:basedOn w:val="BodyText"/>
    <w:qFormat/>
    <w:rsid w:val="00BF1B74"/>
    <w:rPr>
      <w:b/>
    </w:rPr>
  </w:style>
  <w:style w:type="character" w:styleId="Hyperlink">
    <w:name w:val="Hyperlink"/>
    <w:basedOn w:val="DefaultParagraphFont"/>
    <w:uiPriority w:val="99"/>
    <w:unhideWhenUsed/>
    <w:rsid w:val="00991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2785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DEFGEN008 Treat risk within Defence at an operational level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2024-11-07T11:27:00Z</dcterms:created>
  <dcterms:modified xsi:type="dcterms:W3CDTF">2024-11-07T11:27:00Z</dcterms:modified>
</cp:coreProperties>
</file>