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730" w:rsidP="00C84730">
      <w:pPr>
        <w:pStyle w:val="Title"/>
      </w:pPr>
      <w:r>
        <w:fldChar w:fldCharType="begin"/>
      </w:r>
      <w:r>
        <w:instrText xml:space="preserve"> TITLE   \* MERGEFORMAT </w:instrText>
      </w:r>
      <w:r>
        <w:fldChar w:fldCharType="separate"/>
      </w:r>
      <w:r>
        <w:t>DEFFOR017 Detect, collect and record digital evidence</w:t>
      </w:r>
      <w:r>
        <w:fldChar w:fldCharType="end"/>
      </w:r>
    </w:p>
    <w:p w:rsidR="00C84730" w:rsidP="00C84730">
      <w:pPr>
        <w:pStyle w:val="Version"/>
        <w:sectPr w:rsidSect="00ED05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053E" w:rsidP="00ED053E">
      <w:pPr>
        <w:pStyle w:val="SuperHeading"/>
      </w:pPr>
      <w:r w:rsidRPr="00ED053E">
        <w:t>DEFFOR017 Detect, collect and record digital evidence</w:t>
      </w:r>
    </w:p>
    <w:p w:rsidR="00000000" w:rsidRPr="00ED053E" w:rsidP="00ED053E">
      <w:pPr>
        <w:pStyle w:val="Heading1"/>
      </w:pPr>
      <w:bookmarkStart w:id="1" w:name="O_1238677"/>
      <w:bookmarkEnd w:id="1"/>
      <w:r w:rsidRPr="00ED053E">
        <w:t>Modification History</w:t>
      </w:r>
    </w:p>
    <w:tbl>
      <w:tblPr>
        <w:tblW w:w="9497" w:type="dxa"/>
        <w:tblLayout w:type="fixed"/>
        <w:tblCellMar>
          <w:left w:w="62" w:type="dxa"/>
          <w:right w:w="62" w:type="dxa"/>
        </w:tblCellMar>
        <w:tblLook w:val="0000"/>
      </w:tblPr>
      <w:tblGrid>
        <w:gridCol w:w="9497"/>
      </w:tblGrid>
      <w:tr w:rsidTr="00ED05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3E" w:rsidP="00ED053E">
            <w:pPr>
              <w:pStyle w:val="BodyText"/>
            </w:pPr>
            <w:r w:rsidRPr="00ED053E">
              <w:t>Release 1. This is the first release of this unit of competency in the DEF Defence Training Package.</w:t>
            </w:r>
          </w:p>
        </w:tc>
      </w:tr>
    </w:tbl>
    <w:p w:rsidR="00000000" w:rsidRPr="00ED053E" w:rsidP="00ED053E">
      <w:pPr>
        <w:pStyle w:val="NoPaddingFontSize1"/>
      </w:pPr>
    </w:p>
    <w:p w:rsidR="00000000" w:rsidRPr="00ED053E" w:rsidP="00ED053E">
      <w:pPr>
        <w:pStyle w:val="AllowPageBreak"/>
      </w:pPr>
    </w:p>
    <w:p w:rsidR="00000000" w:rsidRPr="00ED053E" w:rsidP="00ED053E">
      <w:pPr>
        <w:pStyle w:val="Heading1"/>
      </w:pPr>
      <w:bookmarkStart w:id="2" w:name="O_1238678"/>
      <w:bookmarkEnd w:id="2"/>
      <w:r w:rsidRPr="00ED053E">
        <w:t>Application</w:t>
      </w:r>
    </w:p>
    <w:tbl>
      <w:tblPr>
        <w:tblW w:w="9497" w:type="dxa"/>
        <w:tblLayout w:type="fixed"/>
        <w:tblCellMar>
          <w:left w:w="62" w:type="dxa"/>
          <w:right w:w="62" w:type="dxa"/>
        </w:tblCellMar>
        <w:tblLook w:val="0000"/>
      </w:tblPr>
      <w:tblGrid>
        <w:gridCol w:w="9497"/>
      </w:tblGrid>
      <w:tr w:rsidTr="00ED05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3E" w:rsidP="00ED053E">
            <w:pPr>
              <w:pStyle w:val="BodyText"/>
            </w:pPr>
            <w:r w:rsidRPr="00ED053E">
              <w:t>This unit describes the skills and knowledge required to conduct activities involve</w:t>
            </w:r>
            <w:r w:rsidRPr="00ED053E">
              <w:t xml:space="preserve">d in the detection, recording and collection of digital evidence prior to laboratory examination. </w:t>
            </w:r>
          </w:p>
          <w:p w:rsidR="00000000" w:rsidRPr="00ED053E" w:rsidP="00ED053E">
            <w:pPr>
              <w:pStyle w:val="BodyText"/>
            </w:pPr>
            <w:r w:rsidRPr="00ED053E">
              <w:t>This unit applies to those working in the gathering and analysis of digital information.</w:t>
            </w:r>
          </w:p>
          <w:p w:rsidR="00000000" w:rsidRPr="00ED053E" w:rsidP="00ED053E">
            <w:pPr>
              <w:pStyle w:val="BodyText"/>
            </w:pPr>
            <w:r w:rsidRPr="00ED053E">
              <w:t>The skills and knowledge described in this unit must be applied with</w:t>
            </w:r>
            <w:r w:rsidRPr="00ED053E">
              <w:t>in the legislative, regulatory and policy environment in which they are carried out. Organisational policies and procedures must be consulted and adhered to, particularly those relating to work health and safety (WHS) and the search for and seizure of digi</w:t>
            </w:r>
            <w:r w:rsidRPr="00ED053E">
              <w:t>tal evidence.</w:t>
            </w:r>
          </w:p>
          <w:p w:rsidR="00000000" w:rsidRPr="00ED053E" w:rsidP="00ED053E">
            <w:pPr>
              <w:pStyle w:val="BodyText"/>
            </w:pPr>
            <w:r w:rsidRPr="00ED053E">
              <w:t>Those undertaking this unit would work independently, with minimal supervision, while performing complex tasks, including making complex judgements. They would use discretion and judgement and take responsibility for the quality of their outp</w:t>
            </w:r>
            <w:r w:rsidRPr="00ED053E">
              <w:t>uts.</w:t>
            </w:r>
          </w:p>
          <w:p w:rsidR="00000000" w:rsidRPr="00ED053E" w:rsidP="00ED053E">
            <w:pPr>
              <w:pStyle w:val="BodyText"/>
            </w:pPr>
            <w:r w:rsidRPr="00ED053E">
              <w:t>No licensing, legislative or certification requirements apply to this unit at the time of publication.</w:t>
            </w:r>
          </w:p>
        </w:tc>
      </w:tr>
    </w:tbl>
    <w:p w:rsidR="00000000" w:rsidRPr="00ED053E" w:rsidP="00ED053E">
      <w:pPr>
        <w:pStyle w:val="NoPaddingFontSize1"/>
      </w:pPr>
    </w:p>
    <w:p w:rsidR="00000000" w:rsidRPr="00ED053E" w:rsidP="00ED053E">
      <w:pPr>
        <w:pStyle w:val="AllowPageBreak"/>
      </w:pPr>
    </w:p>
    <w:p w:rsidR="00000000" w:rsidRPr="00ED053E" w:rsidP="00ED053E">
      <w:pPr>
        <w:pStyle w:val="Heading1"/>
      </w:pPr>
      <w:bookmarkStart w:id="3" w:name="O_1238679"/>
      <w:bookmarkEnd w:id="3"/>
      <w:r w:rsidRPr="00ED053E">
        <w:t>Pre-requisite Unit</w:t>
      </w:r>
    </w:p>
    <w:tbl>
      <w:tblPr>
        <w:tblW w:w="9497" w:type="dxa"/>
        <w:tblLayout w:type="fixed"/>
        <w:tblCellMar>
          <w:left w:w="62" w:type="dxa"/>
          <w:right w:w="62" w:type="dxa"/>
        </w:tblCellMar>
        <w:tblLook w:val="0000"/>
      </w:tblPr>
      <w:tblGrid>
        <w:gridCol w:w="9497"/>
      </w:tblGrid>
      <w:tr w:rsidTr="00ED05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3E" w:rsidP="00ED053E">
            <w:pPr>
              <w:pStyle w:val="BodyText"/>
            </w:pPr>
            <w:r w:rsidRPr="00ED053E">
              <w:t>Not applicable.</w:t>
            </w:r>
          </w:p>
        </w:tc>
      </w:tr>
    </w:tbl>
    <w:p w:rsidR="00000000" w:rsidRPr="00ED053E" w:rsidP="00ED053E">
      <w:pPr>
        <w:pStyle w:val="NoPaddingFontSize1"/>
      </w:pPr>
    </w:p>
    <w:p w:rsidR="00000000" w:rsidRPr="00ED053E" w:rsidP="00ED053E">
      <w:pPr>
        <w:pStyle w:val="AllowPageBreak"/>
      </w:pPr>
    </w:p>
    <w:p w:rsidR="00000000" w:rsidRPr="00ED053E" w:rsidP="00ED053E">
      <w:pPr>
        <w:pStyle w:val="Heading1"/>
      </w:pPr>
      <w:bookmarkStart w:id="4" w:name="O_1238680"/>
      <w:bookmarkEnd w:id="4"/>
      <w:r w:rsidRPr="00ED053E">
        <w:t>Competency Field</w:t>
      </w:r>
    </w:p>
    <w:tbl>
      <w:tblPr>
        <w:tblW w:w="9497" w:type="dxa"/>
        <w:tblLayout w:type="fixed"/>
        <w:tblCellMar>
          <w:left w:w="62" w:type="dxa"/>
          <w:right w:w="62" w:type="dxa"/>
        </w:tblCellMar>
        <w:tblLook w:val="0000"/>
      </w:tblPr>
      <w:tblGrid>
        <w:gridCol w:w="9497"/>
      </w:tblGrid>
      <w:tr w:rsidTr="00ED05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3E" w:rsidP="00ED053E">
            <w:pPr>
              <w:pStyle w:val="BodyText"/>
            </w:pPr>
            <w:r w:rsidRPr="00ED053E">
              <w:t>Digital Forensics.</w:t>
            </w:r>
          </w:p>
        </w:tc>
      </w:tr>
    </w:tbl>
    <w:p w:rsidR="00000000" w:rsidRPr="00ED053E" w:rsidP="00ED053E">
      <w:pPr>
        <w:pStyle w:val="NoPaddingFontSize1"/>
      </w:pPr>
    </w:p>
    <w:p w:rsidR="00000000" w:rsidRPr="00ED053E" w:rsidP="00ED053E">
      <w:pPr>
        <w:pStyle w:val="AllowPageBreak"/>
      </w:pPr>
    </w:p>
    <w:p w:rsidR="00000000" w:rsidRPr="00ED053E" w:rsidP="00ED053E">
      <w:pPr>
        <w:pStyle w:val="Heading1"/>
      </w:pPr>
      <w:bookmarkStart w:id="5" w:name="O_1238681"/>
      <w:bookmarkEnd w:id="5"/>
      <w:r w:rsidRPr="00ED053E">
        <w:t>Unit Sector</w:t>
      </w:r>
    </w:p>
    <w:tbl>
      <w:tblPr>
        <w:tblW w:w="9497" w:type="dxa"/>
        <w:tblLayout w:type="fixed"/>
        <w:tblCellMar>
          <w:left w:w="62" w:type="dxa"/>
          <w:right w:w="62" w:type="dxa"/>
        </w:tblCellMar>
        <w:tblLook w:val="0000"/>
      </w:tblPr>
      <w:tblGrid>
        <w:gridCol w:w="9497"/>
      </w:tblGrid>
      <w:tr w:rsidTr="00ED05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3E" w:rsidP="00ED053E">
            <w:pPr>
              <w:pStyle w:val="BodyText"/>
            </w:pPr>
            <w:r w:rsidRPr="00ED053E">
              <w:t>Not applicable.</w:t>
            </w:r>
          </w:p>
        </w:tc>
      </w:tr>
    </w:tbl>
    <w:p w:rsidR="00000000" w:rsidRPr="00ED053E" w:rsidP="00ED053E">
      <w:pPr>
        <w:pStyle w:val="NoPaddingFontSize1"/>
      </w:pPr>
    </w:p>
    <w:p w:rsidR="00000000" w:rsidRPr="00ED053E" w:rsidP="00ED053E">
      <w:pPr>
        <w:pStyle w:val="AllowPageBreak"/>
      </w:pPr>
    </w:p>
    <w:p w:rsidR="00000000" w:rsidRPr="00ED053E" w:rsidP="00ED053E">
      <w:pPr>
        <w:pStyle w:val="Heading1"/>
      </w:pPr>
      <w:bookmarkStart w:id="6" w:name="O_1238682"/>
      <w:bookmarkEnd w:id="6"/>
      <w:r w:rsidRPr="00ED053E">
        <w:t>Elements and Performance Criteria</w:t>
      </w:r>
    </w:p>
    <w:tbl>
      <w:tblPr>
        <w:tblW w:w="9497" w:type="dxa"/>
        <w:tblLayout w:type="fixed"/>
        <w:tblCellMar>
          <w:left w:w="62" w:type="dxa"/>
          <w:right w:w="62" w:type="dxa"/>
        </w:tblCellMar>
        <w:tblLook w:val="0000"/>
      </w:tblPr>
      <w:tblGrid>
        <w:gridCol w:w="403"/>
        <w:gridCol w:w="2851"/>
        <w:gridCol w:w="697"/>
        <w:gridCol w:w="5546"/>
      </w:tblGrid>
      <w:tr w:rsidTr="00ED053E">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ED053E" w:rsidP="00ED053E">
            <w:pPr>
              <w:pStyle w:val="BodyText"/>
            </w:pPr>
            <w:r w:rsidRPr="00ED053E">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ED053E">
            <w:pPr>
              <w:pStyle w:val="BodyText"/>
              <w:rPr>
                <w:lang w:val="en-NZ"/>
              </w:rPr>
            </w:pPr>
            <w:r w:rsidRPr="00ED053E">
              <w:rPr>
                <w:rStyle w:val="SpecialBold"/>
              </w:rPr>
              <w:t>PERFORMANCE CRITERIA</w:t>
            </w:r>
          </w:p>
        </w:tc>
      </w:tr>
      <w:tr w:rsidTr="00ED053E">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ED053E">
            <w:pPr>
              <w:pStyle w:val="BodyText"/>
              <w:rPr>
                <w:lang w:val="en-NZ"/>
              </w:rPr>
            </w:pPr>
            <w:r w:rsidRPr="00ED053E">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ED053E">
            <w:pPr>
              <w:pStyle w:val="BodyText"/>
              <w:rPr>
                <w:lang w:val="en-NZ"/>
              </w:rPr>
            </w:pPr>
            <w:r w:rsidRPr="00ED053E">
              <w:t>Performance criteria describe the performance needed to demonstrate achievement of the element.</w:t>
            </w:r>
          </w:p>
        </w:tc>
      </w:tr>
      <w:tr w:rsidTr="00ED05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D053E" w:rsidP="00ED053E">
            <w:pPr>
              <w:pStyle w:val="BodyText"/>
            </w:pPr>
            <w:r w:rsidRPr="00ED053E">
              <w:rPr>
                <w:rStyle w:val="SpecialBold"/>
              </w:rPr>
              <w:t>1</w:t>
            </w:r>
          </w:p>
        </w:tc>
        <w:tc>
          <w:tcPr>
            <w:tcW w:w="2851" w:type="dxa"/>
            <w:tcBorders>
              <w:top w:val="nil"/>
              <w:left w:val="nil"/>
              <w:bottom w:val="nil"/>
              <w:right w:val="nil"/>
            </w:tcBorders>
            <w:tcMar>
              <w:top w:w="0" w:type="dxa"/>
              <w:left w:w="62" w:type="dxa"/>
              <w:bottom w:w="0" w:type="dxa"/>
              <w:right w:w="62" w:type="dxa"/>
            </w:tcMar>
          </w:tcPr>
          <w:p w:rsidR="00000000" w:rsidRPr="00ED053E" w:rsidP="00ED053E">
            <w:pPr>
              <w:pStyle w:val="BodyText"/>
            </w:pPr>
            <w:r w:rsidRPr="00ED053E">
              <w:rPr>
                <w:rStyle w:val="SpecialBold"/>
              </w:rPr>
              <w:t>Detect and record digital evidence</w:t>
            </w:r>
          </w:p>
        </w:tc>
        <w:tc>
          <w:tcPr>
            <w:tcW w:w="697" w:type="dxa"/>
            <w:tcBorders>
              <w:top w:val="nil"/>
              <w:left w:val="nil"/>
              <w:bottom w:val="nil"/>
              <w:right w:val="nil"/>
            </w:tcBorders>
            <w:tcMar>
              <w:top w:w="0" w:type="dxa"/>
              <w:left w:w="62" w:type="dxa"/>
              <w:bottom w:w="0" w:type="dxa"/>
              <w:right w:w="62" w:type="dxa"/>
            </w:tcMar>
          </w:tcPr>
          <w:p w:rsidR="00000000" w:rsidP="00ED053E">
            <w:pPr>
              <w:pStyle w:val="BodyText"/>
              <w:rPr>
                <w:lang w:val="en-NZ"/>
              </w:rPr>
            </w:pPr>
            <w:r w:rsidRPr="00ED053E">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ED053E">
            <w:pPr>
              <w:pStyle w:val="BodyText"/>
              <w:rPr>
                <w:lang w:val="en-NZ"/>
              </w:rPr>
            </w:pPr>
            <w:r w:rsidRPr="00ED053E">
              <w:t>Detect digital evidence using suitable techniques and technologies</w:t>
            </w:r>
          </w:p>
        </w:tc>
      </w:tr>
      <w:tr w:rsidTr="00ED05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D05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053E">
            <w:pPr>
              <w:pStyle w:val="BodyText"/>
              <w:rPr>
                <w:lang w:val="en-NZ"/>
              </w:rPr>
            </w:pPr>
            <w:r w:rsidRPr="00ED053E">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ED053E">
            <w:pPr>
              <w:pStyle w:val="BodyText"/>
              <w:rPr>
                <w:lang w:val="en-NZ"/>
              </w:rPr>
            </w:pPr>
            <w:r w:rsidRPr="00ED053E">
              <w:t>Record digital evidence prior to examination</w:t>
            </w:r>
          </w:p>
        </w:tc>
      </w:tr>
      <w:tr w:rsidTr="00ED05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D053E" w:rsidP="00ED053E">
            <w:pPr>
              <w:pStyle w:val="BodyText"/>
            </w:pPr>
            <w:r w:rsidRPr="00ED053E">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ED053E" w:rsidP="00ED053E">
            <w:pPr>
              <w:pStyle w:val="BodyText"/>
            </w:pPr>
            <w:r w:rsidRPr="00ED053E">
              <w:rPr>
                <w:rStyle w:val="SpecialBold"/>
              </w:rPr>
              <w:t>Collect digital evidence</w:t>
            </w:r>
          </w:p>
        </w:tc>
        <w:tc>
          <w:tcPr>
            <w:tcW w:w="697" w:type="dxa"/>
            <w:tcBorders>
              <w:top w:val="nil"/>
              <w:left w:val="nil"/>
              <w:bottom w:val="nil"/>
              <w:right w:val="nil"/>
            </w:tcBorders>
            <w:tcMar>
              <w:top w:w="0" w:type="dxa"/>
              <w:left w:w="62" w:type="dxa"/>
              <w:bottom w:w="0" w:type="dxa"/>
              <w:right w:w="62" w:type="dxa"/>
            </w:tcMar>
          </w:tcPr>
          <w:p w:rsidR="00000000" w:rsidP="00ED053E">
            <w:pPr>
              <w:pStyle w:val="BodyText"/>
              <w:rPr>
                <w:lang w:val="en-NZ"/>
              </w:rPr>
            </w:pPr>
            <w:r w:rsidRPr="00ED053E">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ED053E">
            <w:pPr>
              <w:pStyle w:val="BodyText"/>
              <w:rPr>
                <w:lang w:val="en-NZ"/>
              </w:rPr>
            </w:pPr>
            <w:r w:rsidRPr="00ED053E">
              <w:t>Collect digital evidence to prevent contamination or loss</w:t>
            </w:r>
          </w:p>
        </w:tc>
      </w:tr>
      <w:tr w:rsidTr="00ED05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D05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053E">
            <w:pPr>
              <w:pStyle w:val="BodyText"/>
              <w:rPr>
                <w:lang w:val="en-NZ"/>
              </w:rPr>
            </w:pPr>
            <w:r w:rsidRPr="00ED053E">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ED053E">
            <w:pPr>
              <w:pStyle w:val="BodyText"/>
              <w:rPr>
                <w:lang w:val="en-NZ"/>
              </w:rPr>
            </w:pPr>
            <w:r w:rsidRPr="00ED053E">
              <w:t>Ensure that collected digital evidence is sufficient to allow all potential examinations/analyses to be carried out</w:t>
            </w:r>
          </w:p>
        </w:tc>
      </w:tr>
      <w:tr w:rsidTr="00ED05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D05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053E">
            <w:pPr>
              <w:pStyle w:val="BodyText"/>
              <w:rPr>
                <w:lang w:val="en-NZ"/>
              </w:rPr>
            </w:pPr>
            <w:r w:rsidRPr="00ED053E">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ED053E">
            <w:pPr>
              <w:pStyle w:val="BodyText"/>
              <w:rPr>
                <w:lang w:val="en-NZ"/>
              </w:rPr>
            </w:pPr>
            <w:r w:rsidRPr="00ED053E">
              <w:t>Document the collected digital evidence</w:t>
            </w:r>
          </w:p>
        </w:tc>
      </w:tr>
      <w:tr w:rsidTr="00ED05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D053E" w:rsidP="00ED053E">
            <w:pPr>
              <w:pStyle w:val="BodyText"/>
            </w:pPr>
            <w:r w:rsidRPr="00ED053E">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ED053E" w:rsidP="00ED053E">
            <w:pPr>
              <w:pStyle w:val="BodyText"/>
            </w:pPr>
            <w:r w:rsidRPr="00ED053E">
              <w:rPr>
                <w:rStyle w:val="SpecialBold"/>
              </w:rPr>
              <w:t>Package digital evidence</w:t>
            </w:r>
          </w:p>
        </w:tc>
        <w:tc>
          <w:tcPr>
            <w:tcW w:w="697" w:type="dxa"/>
            <w:tcBorders>
              <w:top w:val="nil"/>
              <w:left w:val="nil"/>
              <w:bottom w:val="nil"/>
              <w:right w:val="nil"/>
            </w:tcBorders>
            <w:tcMar>
              <w:top w:w="0" w:type="dxa"/>
              <w:left w:w="62" w:type="dxa"/>
              <w:bottom w:w="0" w:type="dxa"/>
              <w:right w:w="62" w:type="dxa"/>
            </w:tcMar>
          </w:tcPr>
          <w:p w:rsidR="00000000" w:rsidP="00ED053E">
            <w:pPr>
              <w:pStyle w:val="BodyText"/>
              <w:rPr>
                <w:lang w:val="en-NZ"/>
              </w:rPr>
            </w:pPr>
            <w:r w:rsidRPr="00ED053E">
              <w:rPr>
                <w:rStyle w:val="SpecialBold"/>
              </w:rPr>
              <w:t>3.1</w:t>
            </w:r>
          </w:p>
        </w:tc>
        <w:tc>
          <w:tcPr>
            <w:tcW w:w="5546" w:type="dxa"/>
            <w:tcBorders>
              <w:top w:val="nil"/>
              <w:left w:val="nil"/>
              <w:bottom w:val="nil"/>
              <w:right w:val="nil"/>
            </w:tcBorders>
            <w:tcMar>
              <w:top w:w="0" w:type="dxa"/>
              <w:left w:w="62" w:type="dxa"/>
              <w:bottom w:w="0" w:type="dxa"/>
              <w:right w:w="62" w:type="dxa"/>
            </w:tcMar>
          </w:tcPr>
          <w:p w:rsidR="00000000" w:rsidP="00ED053E">
            <w:pPr>
              <w:pStyle w:val="BodyText"/>
              <w:rPr>
                <w:lang w:val="en-NZ"/>
              </w:rPr>
            </w:pPr>
            <w:r w:rsidRPr="00ED053E">
              <w:t>Package and store collected digital evidence to maintain cont</w:t>
            </w:r>
            <w:r w:rsidRPr="00ED053E">
              <w:t>inuity and prevent degradation or contamination</w:t>
            </w:r>
          </w:p>
        </w:tc>
      </w:tr>
      <w:tr w:rsidTr="00ED05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D05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053E">
            <w:pPr>
              <w:pStyle w:val="BodyText"/>
              <w:rPr>
                <w:lang w:val="en-NZ"/>
              </w:rPr>
            </w:pPr>
            <w:r w:rsidRPr="00ED053E">
              <w:rPr>
                <w:rStyle w:val="SpecialBold"/>
              </w:rPr>
              <w:t>3.2</w:t>
            </w:r>
          </w:p>
        </w:tc>
        <w:tc>
          <w:tcPr>
            <w:tcW w:w="5546" w:type="dxa"/>
            <w:tcBorders>
              <w:top w:val="nil"/>
              <w:left w:val="nil"/>
              <w:bottom w:val="nil"/>
              <w:right w:val="nil"/>
            </w:tcBorders>
            <w:tcMar>
              <w:top w:w="0" w:type="dxa"/>
              <w:left w:w="62" w:type="dxa"/>
              <w:bottom w:w="0" w:type="dxa"/>
              <w:right w:w="62" w:type="dxa"/>
            </w:tcMar>
          </w:tcPr>
          <w:p w:rsidR="00000000" w:rsidP="00ED053E">
            <w:pPr>
              <w:pStyle w:val="BodyText"/>
              <w:rPr>
                <w:lang w:val="en-NZ"/>
              </w:rPr>
            </w:pPr>
            <w:r w:rsidRPr="00ED053E">
              <w:t xml:space="preserve">Record digital evidence in case notes </w:t>
            </w:r>
          </w:p>
        </w:tc>
      </w:tr>
      <w:tr w:rsidTr="00ED05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D05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053E">
            <w:pPr>
              <w:pStyle w:val="BodyText"/>
              <w:rPr>
                <w:lang w:val="en-NZ"/>
              </w:rPr>
            </w:pPr>
            <w:r w:rsidRPr="00ED053E">
              <w:rPr>
                <w:rStyle w:val="SpecialBold"/>
              </w:rPr>
              <w:t>3.3</w:t>
            </w:r>
          </w:p>
        </w:tc>
        <w:tc>
          <w:tcPr>
            <w:tcW w:w="5546" w:type="dxa"/>
            <w:tcBorders>
              <w:top w:val="nil"/>
              <w:left w:val="nil"/>
              <w:bottom w:val="nil"/>
              <w:right w:val="nil"/>
            </w:tcBorders>
            <w:tcMar>
              <w:top w:w="0" w:type="dxa"/>
              <w:left w:w="62" w:type="dxa"/>
              <w:bottom w:w="0" w:type="dxa"/>
              <w:right w:w="62" w:type="dxa"/>
            </w:tcMar>
          </w:tcPr>
          <w:p w:rsidR="00000000" w:rsidRPr="00ED053E" w:rsidP="00ED053E">
            <w:pPr>
              <w:pStyle w:val="BodyText"/>
            </w:pPr>
            <w:r w:rsidRPr="00ED053E">
              <w:t>Register digital evidence in relevant evidence management documents to ensure continuity</w:t>
            </w:r>
          </w:p>
        </w:tc>
      </w:tr>
    </w:tbl>
    <w:p w:rsidR="00000000" w:rsidRPr="00ED053E" w:rsidP="00ED053E">
      <w:pPr>
        <w:pStyle w:val="NoPaddingFontSize1"/>
      </w:pPr>
    </w:p>
    <w:p w:rsidR="00000000" w:rsidRPr="00ED053E" w:rsidP="00ED053E">
      <w:pPr>
        <w:pStyle w:val="AllowPageBreak"/>
      </w:pPr>
    </w:p>
    <w:p w:rsidR="00000000" w:rsidRPr="00ED053E" w:rsidP="00ED053E">
      <w:pPr>
        <w:pStyle w:val="Heading1"/>
      </w:pPr>
      <w:bookmarkStart w:id="7" w:name="O_1238683"/>
      <w:bookmarkEnd w:id="7"/>
      <w:r w:rsidRPr="00ED053E">
        <w:t>Foundation Skills</w:t>
      </w:r>
    </w:p>
    <w:tbl>
      <w:tblPr>
        <w:tblW w:w="9497" w:type="dxa"/>
        <w:tblLayout w:type="fixed"/>
        <w:tblCellMar>
          <w:left w:w="62" w:type="dxa"/>
          <w:right w:w="62" w:type="dxa"/>
        </w:tblCellMar>
        <w:tblLook w:val="0000"/>
      </w:tblPr>
      <w:tblGrid>
        <w:gridCol w:w="9497"/>
      </w:tblGrid>
      <w:tr w:rsidTr="00ED05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3E" w:rsidP="00ED053E">
            <w:pPr>
              <w:pStyle w:val="BodyText"/>
            </w:pPr>
            <w:r w:rsidRPr="00ED053E">
              <w:t>Foundation skills essential to performance are explicit in the performance criteria of this unit of competency.</w:t>
            </w:r>
          </w:p>
        </w:tc>
      </w:tr>
    </w:tbl>
    <w:p w:rsidR="00000000" w:rsidRPr="00ED053E" w:rsidP="00ED053E">
      <w:pPr>
        <w:pStyle w:val="NoPaddingFontSize1"/>
      </w:pPr>
    </w:p>
    <w:p w:rsidR="00000000" w:rsidRPr="00ED053E" w:rsidP="00ED053E">
      <w:pPr>
        <w:pStyle w:val="AllowPageBreak"/>
      </w:pPr>
    </w:p>
    <w:p w:rsidR="00000000" w:rsidRPr="00ED053E" w:rsidP="00ED053E">
      <w:pPr>
        <w:pStyle w:val="Heading1"/>
      </w:pPr>
      <w:bookmarkStart w:id="8" w:name="O_1238684"/>
      <w:bookmarkEnd w:id="8"/>
      <w:r w:rsidRPr="00ED053E">
        <w:t>Range of Conditions</w:t>
      </w:r>
    </w:p>
    <w:tbl>
      <w:tblPr>
        <w:tblW w:w="9497" w:type="dxa"/>
        <w:tblLayout w:type="fixed"/>
        <w:tblCellMar>
          <w:left w:w="62" w:type="dxa"/>
          <w:right w:w="62" w:type="dxa"/>
        </w:tblCellMar>
        <w:tblLook w:val="0000"/>
      </w:tblPr>
      <w:tblGrid>
        <w:gridCol w:w="9497"/>
      </w:tblGrid>
      <w:tr w:rsidTr="00ED05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3E" w:rsidP="00ED053E">
            <w:pPr>
              <w:pStyle w:val="BodyText"/>
            </w:pPr>
            <w:r w:rsidRPr="00ED053E">
              <w:t>Range is restricted to essential operating conditions and any other variables essential to the work env</w:t>
            </w:r>
            <w:r w:rsidRPr="00ED053E">
              <w:t>ironment.</w:t>
            </w:r>
          </w:p>
          <w:p w:rsidR="00000000" w:rsidRPr="00ED053E" w:rsidP="00ED053E">
            <w:pPr>
              <w:pStyle w:val="BodyText"/>
            </w:pPr>
            <w:r w:rsidRPr="00ED053E">
              <w:t>Non-essential conditions may be found in the DEF Defence Training Package Companion Volume Implementation Guide.</w:t>
            </w:r>
          </w:p>
        </w:tc>
      </w:tr>
    </w:tbl>
    <w:p w:rsidR="00000000" w:rsidRPr="00ED053E" w:rsidP="00ED053E">
      <w:pPr>
        <w:pStyle w:val="NoPaddingFontSize1"/>
      </w:pPr>
    </w:p>
    <w:p w:rsidR="00000000" w:rsidRPr="00ED053E" w:rsidP="00ED053E">
      <w:pPr>
        <w:pStyle w:val="AllowPageBreak"/>
      </w:pPr>
    </w:p>
    <w:p w:rsidR="00000000" w:rsidRPr="00ED053E" w:rsidP="00ED053E">
      <w:pPr>
        <w:pStyle w:val="Heading1"/>
      </w:pPr>
      <w:bookmarkStart w:id="9" w:name="O_1238685"/>
      <w:bookmarkEnd w:id="9"/>
      <w:r w:rsidRPr="00ED053E">
        <w:t>Unit Mapping Information</w:t>
      </w:r>
    </w:p>
    <w:tbl>
      <w:tblPr>
        <w:tblW w:w="9497" w:type="dxa"/>
        <w:tblLayout w:type="fixed"/>
        <w:tblCellMar>
          <w:left w:w="62" w:type="dxa"/>
          <w:right w:w="62" w:type="dxa"/>
        </w:tblCellMar>
        <w:tblLook w:val="0000"/>
      </w:tblPr>
      <w:tblGrid>
        <w:gridCol w:w="9497"/>
      </w:tblGrid>
      <w:tr w:rsidTr="00ED05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3E" w:rsidP="00ED053E">
            <w:pPr>
              <w:pStyle w:val="BodyText"/>
            </w:pPr>
            <w:r w:rsidRPr="00ED053E">
              <w:t>This unit supersedes and is equivalent to DEFFOR008 Detect, record and collect electronic evidence.</w:t>
            </w:r>
          </w:p>
        </w:tc>
      </w:tr>
    </w:tbl>
    <w:p w:rsidR="00000000" w:rsidRPr="00ED053E" w:rsidP="00ED053E">
      <w:pPr>
        <w:pStyle w:val="NoPaddingFontSize1"/>
      </w:pPr>
    </w:p>
    <w:p w:rsidR="00000000" w:rsidRPr="00ED053E" w:rsidP="00ED053E">
      <w:pPr>
        <w:pStyle w:val="AllowPageBreak"/>
      </w:pPr>
    </w:p>
    <w:p w:rsidR="00000000" w:rsidRPr="00ED053E" w:rsidP="00ED053E">
      <w:pPr>
        <w:pStyle w:val="Heading1"/>
      </w:pPr>
      <w:bookmarkStart w:id="10" w:name="O_1238692"/>
      <w:bookmarkEnd w:id="10"/>
      <w:r w:rsidRPr="00ED053E">
        <w:t>Links</w:t>
      </w:r>
    </w:p>
    <w:p w:rsidR="00000000" w:rsidRPr="00ED053E" w:rsidP="00C84730">
      <w:pPr>
        <w:pStyle w:val="BodyText"/>
      </w:pPr>
      <w:r w:rsidRPr="00ED053E">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D5531C">
        <w:rPr>
          <w:rStyle w:val="Hyperlink"/>
        </w:rPr>
        <w:t>https://vetnet.gov.au/Pages/TrainingDocs.aspx?q=6bdbab1e-11ed-4bc9-9cba-9e1a55d4e4a9</w:t>
      </w:r>
      <w:r>
        <w:fldChar w:fldCharType="end"/>
      </w:r>
    </w:p>
    <w:p w:rsidR="00000000" w:rsidRPr="00ED053E" w:rsidP="00C84730">
      <w:pPr>
        <w:pStyle w:val="BodyText"/>
        <w:sectPr w:rsidSect="00ED053E">
          <w:headerReference w:type="default" r:id="rId10"/>
          <w:footerReference w:type="default" r:id="rId11"/>
          <w:pgSz w:w="11908" w:h="16833"/>
          <w:pgMar w:top="1702" w:right="1418" w:bottom="1702" w:left="1418" w:header="992" w:footer="992" w:gutter="0"/>
          <w:cols w:space="720"/>
          <w:noEndnote/>
          <w:docGrid w:linePitch="299"/>
        </w:sectPr>
      </w:pPr>
    </w:p>
    <w:p w:rsidR="00000000" w:rsidRPr="00ED053E" w:rsidP="00ED053E">
      <w:pPr>
        <w:pStyle w:val="SuperHeading"/>
      </w:pPr>
      <w:r w:rsidRPr="00ED053E">
        <w:t>Assessment Requirements for DEFFOR017 Detect, collect and record digital evidence</w:t>
      </w:r>
    </w:p>
    <w:p w:rsidR="00000000" w:rsidRPr="00ED053E" w:rsidP="00ED053E">
      <w:pPr>
        <w:pStyle w:val="Heading1"/>
      </w:pPr>
      <w:bookmarkStart w:id="11" w:name="O_1238687"/>
      <w:bookmarkEnd w:id="11"/>
      <w:r w:rsidRPr="00ED053E">
        <w:t>Modification History</w:t>
      </w:r>
    </w:p>
    <w:tbl>
      <w:tblPr>
        <w:tblW w:w="9497" w:type="dxa"/>
        <w:tblLayout w:type="fixed"/>
        <w:tblCellMar>
          <w:left w:w="62" w:type="dxa"/>
          <w:right w:w="62" w:type="dxa"/>
        </w:tblCellMar>
        <w:tblLook w:val="0000"/>
      </w:tblPr>
      <w:tblGrid>
        <w:gridCol w:w="9497"/>
      </w:tblGrid>
      <w:tr w:rsidTr="00ED05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3E" w:rsidP="00ED053E">
            <w:pPr>
              <w:pStyle w:val="BodyText"/>
            </w:pPr>
            <w:r w:rsidRPr="00ED053E">
              <w:t xml:space="preserve">Release 1. This is the first release of this unit of competency in the </w:t>
            </w:r>
            <w:r w:rsidRPr="00ED053E">
              <w:t>DEF Defence Training Package.</w:t>
            </w:r>
          </w:p>
        </w:tc>
      </w:tr>
    </w:tbl>
    <w:p w:rsidR="00000000" w:rsidRPr="00ED053E" w:rsidP="00ED053E">
      <w:pPr>
        <w:pStyle w:val="NoPaddingFontSize1"/>
      </w:pPr>
    </w:p>
    <w:p w:rsidR="00000000" w:rsidRPr="00ED053E" w:rsidP="00ED053E">
      <w:pPr>
        <w:pStyle w:val="AllowPageBreak"/>
      </w:pPr>
    </w:p>
    <w:p w:rsidR="00000000" w:rsidRPr="00ED053E" w:rsidP="00ED053E">
      <w:pPr>
        <w:pStyle w:val="Heading1"/>
      </w:pPr>
      <w:bookmarkStart w:id="12" w:name="O_1238688"/>
      <w:bookmarkEnd w:id="12"/>
      <w:r w:rsidRPr="00ED053E">
        <w:t>Performance Evidence</w:t>
      </w:r>
    </w:p>
    <w:tbl>
      <w:tblPr>
        <w:tblW w:w="9497" w:type="dxa"/>
        <w:tblLayout w:type="fixed"/>
        <w:tblCellMar>
          <w:left w:w="62" w:type="dxa"/>
          <w:right w:w="62" w:type="dxa"/>
        </w:tblCellMar>
        <w:tblLook w:val="0000"/>
      </w:tblPr>
      <w:tblGrid>
        <w:gridCol w:w="9497"/>
      </w:tblGrid>
      <w:tr w:rsidTr="00ED05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053E">
            <w:pPr>
              <w:pStyle w:val="BodyText"/>
              <w:rPr>
                <w:lang w:val="en-NZ"/>
              </w:rPr>
            </w:pPr>
            <w:r w:rsidRPr="00ED053E">
              <w:t>Evidence required to demonstrate competence in this unit must be relevant to and satisfy all of the requirements of the elements and performance criteria on at least one occasion and i</w:t>
            </w:r>
            <w:r w:rsidRPr="00ED053E">
              <w:t xml:space="preserve">nclude: </w:t>
            </w:r>
          </w:p>
        </w:tc>
      </w:tr>
      <w:tr w:rsidTr="00ED05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3E" w:rsidP="00ED053E">
            <w:pPr>
              <w:pStyle w:val="ListBullet"/>
            </w:pPr>
            <w:r w:rsidRPr="00ED053E">
              <w:t>examining digital evidence</w:t>
            </w:r>
          </w:p>
          <w:p w:rsidR="00000000" w:rsidRPr="00ED053E" w:rsidP="00ED053E">
            <w:pPr>
              <w:pStyle w:val="ListBullet"/>
            </w:pPr>
            <w:r w:rsidRPr="00ED053E">
              <w:t>handling and preserving continuity of evidence</w:t>
            </w:r>
          </w:p>
          <w:p w:rsidR="00000000" w:rsidRPr="00ED053E" w:rsidP="00ED053E">
            <w:pPr>
              <w:pStyle w:val="ListBullet"/>
            </w:pPr>
            <w:r w:rsidRPr="00ED053E">
              <w:t>making analytical decisions</w:t>
            </w:r>
          </w:p>
          <w:p w:rsidR="00000000" w:rsidRPr="00ED053E" w:rsidP="00ED053E">
            <w:pPr>
              <w:pStyle w:val="ListBullet"/>
            </w:pPr>
            <w:r w:rsidRPr="00ED053E">
              <w:t>maximising the evidentiary value of the digital evidence</w:t>
            </w:r>
          </w:p>
          <w:p w:rsidR="00000000" w:rsidRPr="00ED053E" w:rsidP="00ED053E">
            <w:pPr>
              <w:pStyle w:val="ListBullet"/>
            </w:pPr>
            <w:r w:rsidRPr="00ED053E">
              <w:t>operating safely</w:t>
            </w:r>
          </w:p>
          <w:p w:rsidR="00000000" w:rsidRPr="00ED053E" w:rsidP="00ED053E">
            <w:pPr>
              <w:pStyle w:val="ListBullet"/>
            </w:pPr>
            <w:r w:rsidRPr="00ED053E">
              <w:t>packaging and storing items to maintain continuity and prevent degrad</w:t>
            </w:r>
            <w:r w:rsidRPr="00ED053E">
              <w:t>ation or contamination by considering:</w:t>
            </w:r>
          </w:p>
          <w:p w:rsidR="00000000" w:rsidRPr="00ED053E" w:rsidP="00ED053E">
            <w:pPr>
              <w:pStyle w:val="ListBullet2"/>
            </w:pPr>
            <w:r w:rsidRPr="00ED053E">
              <w:t>digital stability</w:t>
            </w:r>
          </w:p>
          <w:p w:rsidR="00000000" w:rsidRPr="00ED053E" w:rsidP="00ED053E">
            <w:pPr>
              <w:pStyle w:val="ListBullet2"/>
            </w:pPr>
            <w:r w:rsidRPr="00ED053E">
              <w:t>exhibit labels</w:t>
            </w:r>
          </w:p>
          <w:p w:rsidR="00000000" w:rsidRPr="00ED053E" w:rsidP="00ED053E">
            <w:pPr>
              <w:pStyle w:val="ListBullet2"/>
            </w:pPr>
            <w:r w:rsidRPr="00ED053E">
              <w:t>packaging medium</w:t>
            </w:r>
          </w:p>
          <w:p w:rsidR="00000000" w:rsidRPr="00ED053E" w:rsidP="00ED053E">
            <w:pPr>
              <w:pStyle w:val="ListBullet2"/>
            </w:pPr>
            <w:r w:rsidRPr="00ED053E">
              <w:t>physical nature of exhibit</w:t>
            </w:r>
          </w:p>
          <w:p w:rsidR="00000000" w:rsidRPr="00ED053E" w:rsidP="00ED053E">
            <w:pPr>
              <w:pStyle w:val="ListBullet2"/>
            </w:pPr>
            <w:r w:rsidRPr="00ED053E">
              <w:t>storage temperature</w:t>
            </w:r>
          </w:p>
          <w:p w:rsidR="00000000" w:rsidRPr="00ED053E" w:rsidP="00ED053E">
            <w:pPr>
              <w:pStyle w:val="ListBullet2"/>
            </w:pPr>
            <w:r w:rsidRPr="00ED053E">
              <w:t>tamper-evident seals</w:t>
            </w:r>
          </w:p>
          <w:p w:rsidR="00000000" w:rsidRPr="00ED053E" w:rsidP="00ED053E">
            <w:pPr>
              <w:pStyle w:val="ListBullet"/>
            </w:pPr>
            <w:r w:rsidRPr="00ED053E">
              <w:t>solving problems</w:t>
            </w:r>
          </w:p>
        </w:tc>
      </w:tr>
    </w:tbl>
    <w:p w:rsidR="00000000" w:rsidRPr="00ED053E" w:rsidP="00ED053E">
      <w:pPr>
        <w:pStyle w:val="NoPaddingFontSize1"/>
      </w:pPr>
    </w:p>
    <w:p w:rsidR="00000000" w:rsidRPr="00ED053E" w:rsidP="00ED053E">
      <w:pPr>
        <w:pStyle w:val="AllowPageBreak"/>
      </w:pPr>
    </w:p>
    <w:p w:rsidR="00000000" w:rsidRPr="00ED053E" w:rsidP="00ED053E">
      <w:pPr>
        <w:pStyle w:val="Heading1"/>
      </w:pPr>
      <w:bookmarkStart w:id="13" w:name="O_1238689"/>
      <w:bookmarkEnd w:id="13"/>
      <w:r w:rsidRPr="00ED053E">
        <w:t>Knowledge Evidence</w:t>
      </w:r>
    </w:p>
    <w:tbl>
      <w:tblPr>
        <w:tblW w:w="9497" w:type="dxa"/>
        <w:tblLayout w:type="fixed"/>
        <w:tblCellMar>
          <w:left w:w="62" w:type="dxa"/>
          <w:right w:w="62" w:type="dxa"/>
        </w:tblCellMar>
        <w:tblLook w:val="0000"/>
      </w:tblPr>
      <w:tblGrid>
        <w:gridCol w:w="9497"/>
      </w:tblGrid>
      <w:tr w:rsidTr="00ED05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053E">
            <w:pPr>
              <w:pStyle w:val="BodyText"/>
              <w:rPr>
                <w:lang w:val="en-NZ"/>
              </w:rPr>
            </w:pPr>
            <w:r w:rsidRPr="00ED053E">
              <w:t xml:space="preserve">Evidence required to demonstrate competence in this unit must be relevant to and satisfy all of the requirements of the elements and performance criteria and include knowledge of: </w:t>
            </w:r>
          </w:p>
        </w:tc>
      </w:tr>
      <w:tr w:rsidTr="00ED05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3E" w:rsidP="00ED053E">
            <w:pPr>
              <w:pStyle w:val="ListBullet"/>
            </w:pPr>
            <w:r w:rsidRPr="00ED053E">
              <w:t>available techniques and their limitations</w:t>
            </w:r>
          </w:p>
          <w:p w:rsidR="00000000" w:rsidRPr="00ED053E" w:rsidP="00ED053E">
            <w:pPr>
              <w:pStyle w:val="ListBullet"/>
            </w:pPr>
            <w:r w:rsidRPr="00ED053E">
              <w:t>collection and preservation of</w:t>
            </w:r>
            <w:r w:rsidRPr="00ED053E">
              <w:t xml:space="preserve"> specific evidence types</w:t>
            </w:r>
          </w:p>
          <w:p w:rsidR="00000000" w:rsidRPr="00ED053E" w:rsidP="00ED053E">
            <w:pPr>
              <w:pStyle w:val="ListBullet"/>
            </w:pPr>
            <w:r w:rsidRPr="00ED053E">
              <w:t>legislative, policy and organisational context and requirements</w:t>
            </w:r>
          </w:p>
          <w:p w:rsidR="00000000" w:rsidRPr="00ED053E" w:rsidP="00ED053E">
            <w:pPr>
              <w:pStyle w:val="ListBullet"/>
            </w:pPr>
            <w:r w:rsidRPr="00ED053E">
              <w:t>required documentation</w:t>
            </w:r>
          </w:p>
          <w:p w:rsidR="00000000" w:rsidRPr="00ED053E" w:rsidP="00ED053E">
            <w:pPr>
              <w:pStyle w:val="ListBullet"/>
            </w:pPr>
            <w:r w:rsidRPr="00ED053E">
              <w:t>roles and functions of other forensic discipline specialists</w:t>
            </w:r>
          </w:p>
          <w:p w:rsidR="00000000" w:rsidRPr="00ED053E" w:rsidP="00ED053E">
            <w:pPr>
              <w:pStyle w:val="ListBullet"/>
            </w:pPr>
            <w:r w:rsidRPr="00ED053E">
              <w:t>work health and safety (WHS) practices to be followed when detecting, collecting an</w:t>
            </w:r>
            <w:r w:rsidRPr="00ED053E">
              <w:t>d recording digital evidence.</w:t>
            </w:r>
          </w:p>
        </w:tc>
      </w:tr>
    </w:tbl>
    <w:p w:rsidR="00000000" w:rsidRPr="00ED053E" w:rsidP="00ED053E">
      <w:pPr>
        <w:pStyle w:val="NoPaddingFontSize1"/>
      </w:pPr>
    </w:p>
    <w:p w:rsidR="00000000" w:rsidRPr="00ED053E" w:rsidP="00ED053E">
      <w:pPr>
        <w:pStyle w:val="AllowPageBreak"/>
      </w:pPr>
    </w:p>
    <w:p w:rsidR="00000000" w:rsidRPr="00ED053E" w:rsidP="00ED053E">
      <w:pPr>
        <w:pStyle w:val="Heading1"/>
      </w:pPr>
      <w:bookmarkStart w:id="14" w:name="O_1238690"/>
      <w:bookmarkEnd w:id="14"/>
      <w:r w:rsidRPr="00ED053E">
        <w:t>Assessment Conditions</w:t>
      </w:r>
    </w:p>
    <w:tbl>
      <w:tblPr>
        <w:tblW w:w="9497" w:type="dxa"/>
        <w:tblLayout w:type="fixed"/>
        <w:tblCellMar>
          <w:left w:w="62" w:type="dxa"/>
          <w:right w:w="62" w:type="dxa"/>
        </w:tblCellMar>
        <w:tblLook w:val="0000"/>
      </w:tblPr>
      <w:tblGrid>
        <w:gridCol w:w="9497"/>
      </w:tblGrid>
      <w:tr w:rsidTr="00ED05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3E" w:rsidP="00ED053E">
            <w:pPr>
              <w:pStyle w:val="BodyText"/>
            </w:pPr>
            <w:r w:rsidRPr="00ED053E">
              <w:t>Assessors must hold credentials specified within the Standards for Registered Training Organisations current at the time of assessment.</w:t>
            </w:r>
          </w:p>
          <w:p w:rsidR="00000000" w:rsidRPr="00ED053E" w:rsidP="00ED053E">
            <w:pPr>
              <w:pStyle w:val="BodyText"/>
            </w:pPr>
            <w:r w:rsidRPr="00ED053E">
              <w:t>Assessment must satisfy the Principles of Assessment and Rules of Evidence and all regulatory requirements included within the Standards for Registered Training Organisations current at the time of assessment.</w:t>
            </w:r>
          </w:p>
          <w:p w:rsidR="00000000" w:rsidRPr="00ED053E" w:rsidP="00ED053E">
            <w:pPr>
              <w:pStyle w:val="BodyText"/>
            </w:pPr>
            <w:r w:rsidRPr="00ED053E">
              <w:t>Assessment must occur in workplace operational</w:t>
            </w:r>
            <w:r w:rsidRPr="00ED053E">
              <w:t xml:space="preserve"> situations. Where this is not appropriate, assessment must occur in simulated workplace operational situations that reflect workplace conditions.</w:t>
            </w:r>
          </w:p>
          <w:p w:rsidR="00000000" w:rsidRPr="00ED053E" w:rsidP="00ED053E">
            <w:pPr>
              <w:pStyle w:val="BodyText"/>
            </w:pPr>
            <w:r w:rsidRPr="00ED053E">
              <w:t>Assessment processes and techniques must be appropriate to the language, literacy and numeracy requirements o</w:t>
            </w:r>
            <w:r w:rsidRPr="00ED053E">
              <w:t>f the work being performed and the needs of the candidate.</w:t>
            </w:r>
          </w:p>
          <w:p w:rsidR="00000000" w:rsidRPr="00ED053E" w:rsidP="00ED053E">
            <w:pPr>
              <w:pStyle w:val="BodyText"/>
            </w:pPr>
            <w:r w:rsidRPr="00ED053E">
              <w:t>Resources for assessment must include access to:</w:t>
            </w:r>
          </w:p>
          <w:p w:rsidR="00000000" w:rsidRPr="00ED053E" w:rsidP="00ED053E">
            <w:pPr>
              <w:pStyle w:val="ListBullet"/>
            </w:pPr>
            <w:r w:rsidRPr="00ED053E">
              <w:t xml:space="preserve">a range of relevant exercises, case studies and/or simulations </w:t>
            </w:r>
          </w:p>
          <w:p w:rsidR="00000000" w:rsidRPr="00ED053E" w:rsidP="00ED053E">
            <w:pPr>
              <w:pStyle w:val="ListBullet"/>
            </w:pPr>
            <w:r w:rsidRPr="00ED053E">
              <w:t>applicable documentation, including workplace procedures, regulations, codes of pra</w:t>
            </w:r>
            <w:r w:rsidRPr="00ED053E">
              <w:t xml:space="preserve">ctice and operation manuals </w:t>
            </w:r>
          </w:p>
          <w:p w:rsidR="00000000" w:rsidRPr="00ED053E" w:rsidP="00ED053E">
            <w:pPr>
              <w:pStyle w:val="ListBullet"/>
            </w:pPr>
            <w:r w:rsidRPr="00ED053E">
              <w:t>relevant materials, tools, equipment and personal protective equipment (PPE) currently used in industry.</w:t>
            </w:r>
          </w:p>
        </w:tc>
      </w:tr>
    </w:tbl>
    <w:p w:rsidR="00000000" w:rsidRPr="00ED053E" w:rsidP="00ED053E">
      <w:pPr>
        <w:pStyle w:val="NoPaddingFontSize1"/>
      </w:pPr>
    </w:p>
    <w:p w:rsidR="00000000" w:rsidRPr="00ED053E" w:rsidP="00ED053E">
      <w:pPr>
        <w:pStyle w:val="AllowPageBreak"/>
      </w:pPr>
    </w:p>
    <w:p w:rsidR="00000000" w:rsidRPr="00ED053E" w:rsidP="00ED053E">
      <w:pPr>
        <w:pStyle w:val="Heading1"/>
      </w:pPr>
      <w:bookmarkStart w:id="15" w:name="O_1238693"/>
      <w:bookmarkEnd w:id="15"/>
      <w:r w:rsidRPr="00ED053E">
        <w:t>Links</w:t>
      </w:r>
    </w:p>
    <w:p w:rsidR="00000000" w:rsidRPr="00ED053E" w:rsidP="00C84730">
      <w:pPr>
        <w:pStyle w:val="BodyText"/>
      </w:pPr>
      <w:r w:rsidRPr="00ED053E">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D5531C">
        <w:rPr>
          <w:rStyle w:val="Hyperlink"/>
        </w:rPr>
        <w:t>https://vetnet.gov.au/Pages/TrainingDocs.aspx?q=6bdbab1e-11ed-4bc9-9cba-9e1a55d4e4a9</w:t>
      </w:r>
      <w:r>
        <w:fldChar w:fldCharType="end"/>
      </w:r>
    </w:p>
    <w:p w:rsidR="00000000" w:rsidRPr="00ED053E" w:rsidP="00ED053E"/>
    <w:sectPr w:rsidSect="00ED05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3E" w:rsidRPr="00C84730" w:rsidP="00C847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730" w:rsidP="00ED05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4730" w:rsidP="00ED05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84730" w:rsidP="00ED05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3E" w:rsidP="00ED053E">
    <w:pPr>
      <w:pStyle w:val="Footer"/>
      <w:framePr w:wrap="around"/>
    </w:pPr>
    <w:r>
      <w:fldChar w:fldCharType="begin"/>
    </w:r>
    <w:r>
      <w:instrText xml:space="preserve"> DOCPROPERTY  Subject  \* MERGEFORMAT </w:instrText>
    </w:r>
    <w:r>
      <w:fldChar w:fldCharType="separate"/>
    </w:r>
    <w:r w:rsidR="00C84730">
      <w:t>Approved</w:t>
    </w:r>
    <w:r w:rsidR="00C84730">
      <w:fldChar w:fldCharType="end"/>
    </w:r>
    <w:r>
      <w:tab/>
      <w:t xml:space="preserve">Page </w:t>
    </w:r>
    <w:r>
      <w:fldChar w:fldCharType="begin"/>
    </w:r>
    <w:r>
      <w:instrText xml:space="preserve"> PAGE  \* Arabic  \* MERGEFORMAT </w:instrText>
    </w:r>
    <w:r>
      <w:fldChar w:fldCharType="separate"/>
    </w:r>
    <w:r w:rsidR="00C8473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4730">
      <w:rPr>
        <w:noProof/>
      </w:rPr>
      <w:t>4</w:t>
    </w:r>
    <w:r>
      <w:rPr>
        <w:noProof/>
      </w:rPr>
      <w:fldChar w:fldCharType="end"/>
    </w:r>
  </w:p>
  <w:p w:rsidR="00ED053E" w:rsidP="00ED053E">
    <w:pPr>
      <w:pStyle w:val="Footer"/>
      <w:framePr w:wrap="around"/>
    </w:pPr>
    <w:r>
      <w:t xml:space="preserve">© Commonwealth of Australia, </w:t>
    </w:r>
    <w:r>
      <w:fldChar w:fldCharType="begin"/>
    </w:r>
    <w:r>
      <w:instrText xml:space="preserve"> DATE  \@ "yyyy"  \* MERGEFORMAT </w:instrText>
    </w:r>
    <w:r>
      <w:fldChar w:fldCharType="separate"/>
    </w:r>
    <w:r w:rsidR="00C84730">
      <w:rPr>
        <w:noProof/>
      </w:rPr>
      <w:t>2025</w:t>
    </w:r>
    <w:r>
      <w:fldChar w:fldCharType="end"/>
    </w:r>
    <w:r>
      <w:tab/>
    </w:r>
    <w:r>
      <w:fldChar w:fldCharType="begin"/>
    </w:r>
    <w:r>
      <w:instrText xml:space="preserve"> DOCPROPERTY  Author  \* MERGEFORMAT </w:instrText>
    </w:r>
    <w:r>
      <w:fldChar w:fldCharType="separate"/>
    </w:r>
    <w:r w:rsidR="00C84730">
      <w:t>Public Skills Australia</w:t>
    </w:r>
    <w:r w:rsidR="00C84730">
      <w:fldChar w:fldCharType="end"/>
    </w:r>
  </w:p>
  <w:p w:rsidR="00ED053E" w:rsidP="00ED05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7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053E" w:rsidRPr="00C84730" w:rsidP="00C847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730" w:rsidRPr="002D2AF8" w:rsidP="00ED053E">
    <w:pPr>
      <w:pStyle w:val="Header"/>
      <w:framePr w:wrap="around"/>
    </w:pPr>
    <w:r>
      <w:fldChar w:fldCharType="begin"/>
    </w:r>
    <w:r>
      <w:instrText xml:space="preserve"> TITLE   \* MERGEFORMAT </w:instrText>
    </w:r>
    <w:r>
      <w:fldChar w:fldCharType="separate"/>
    </w:r>
    <w:r>
      <w:t>DEFFOR017 Detect, collect and record digital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84730" w:rsidP="00ED05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3E" w:rsidRPr="002D2AF8" w:rsidP="00ED053E">
    <w:pPr>
      <w:pStyle w:val="Header"/>
      <w:framePr w:wrap="around"/>
    </w:pPr>
    <w:r>
      <w:fldChar w:fldCharType="begin"/>
    </w:r>
    <w:r>
      <w:instrText xml:space="preserve"> TITLE   \* MERGEFORMAT </w:instrText>
    </w:r>
    <w:r>
      <w:fldChar w:fldCharType="separate"/>
    </w:r>
    <w:r w:rsidR="00C84730">
      <w:t>DEFFOR017 Detect, collect and record digital evidence</w:t>
    </w:r>
    <w:r w:rsidR="00C84730">
      <w:fldChar w:fldCharType="end"/>
    </w:r>
    <w:r>
      <w:tab/>
      <w:t xml:space="preserve">Date this document was generated: </w:t>
    </w:r>
    <w:r>
      <w:fldChar w:fldCharType="begin"/>
    </w:r>
    <w:r>
      <w:instrText xml:space="preserve"> CREATEDATE  \@ "d MMMM yyyy"  \* MERGEFORMAT </w:instrText>
    </w:r>
    <w:r>
      <w:fldChar w:fldCharType="separate"/>
    </w:r>
    <w:r w:rsidR="00C84730">
      <w:rPr>
        <w:noProof/>
      </w:rPr>
      <w:t>1 March 2025</w:t>
    </w:r>
    <w:r>
      <w:fldChar w:fldCharType="end"/>
    </w:r>
  </w:p>
  <w:p w:rsidR="00ED053E" w:rsidP="00ED05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8C27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96DD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BC2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5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053E"/>
    <w:pPr>
      <w:spacing w:before="360" w:after="60"/>
      <w:outlineLvl w:val="0"/>
    </w:pPr>
    <w:rPr>
      <w:sz w:val="32"/>
    </w:rPr>
  </w:style>
  <w:style w:type="paragraph" w:styleId="Heading2">
    <w:name w:val="heading 2"/>
    <w:basedOn w:val="HeadingBase"/>
    <w:next w:val="BodyText"/>
    <w:link w:val="Heading2Char"/>
    <w:qFormat/>
    <w:rsid w:val="00ED053E"/>
    <w:pPr>
      <w:keepLines/>
      <w:spacing w:before="240" w:after="120"/>
      <w:outlineLvl w:val="1"/>
    </w:pPr>
    <w:rPr>
      <w:sz w:val="28"/>
      <w:szCs w:val="40"/>
    </w:rPr>
  </w:style>
  <w:style w:type="paragraph" w:styleId="Heading3">
    <w:name w:val="heading 3"/>
    <w:basedOn w:val="HeadingBase"/>
    <w:next w:val="BodyText"/>
    <w:link w:val="Heading3Char"/>
    <w:qFormat/>
    <w:rsid w:val="00ED053E"/>
    <w:pPr>
      <w:spacing w:before="180" w:after="120"/>
      <w:outlineLvl w:val="2"/>
    </w:pPr>
    <w:rPr>
      <w:spacing w:val="-10"/>
      <w:kern w:val="32"/>
    </w:rPr>
  </w:style>
  <w:style w:type="paragraph" w:styleId="Heading4">
    <w:name w:val="heading 4"/>
    <w:basedOn w:val="HeadingBase"/>
    <w:next w:val="BodyText"/>
    <w:link w:val="Heading4Char"/>
    <w:qFormat/>
    <w:rsid w:val="00ED053E"/>
    <w:pPr>
      <w:spacing w:before="160" w:after="120"/>
      <w:outlineLvl w:val="3"/>
    </w:pPr>
    <w:rPr>
      <w:sz w:val="22"/>
    </w:rPr>
  </w:style>
  <w:style w:type="paragraph" w:styleId="Heading5">
    <w:name w:val="heading 5"/>
    <w:basedOn w:val="HeadingBase"/>
    <w:next w:val="Normal"/>
    <w:link w:val="Heading5Char"/>
    <w:qFormat/>
    <w:rsid w:val="00ED053E"/>
    <w:pPr>
      <w:spacing w:before="80"/>
      <w:outlineLvl w:val="4"/>
    </w:pPr>
    <w:rPr>
      <w:color w:val="918585"/>
      <w:sz w:val="20"/>
    </w:rPr>
  </w:style>
  <w:style w:type="paragraph" w:styleId="Heading6">
    <w:name w:val="heading 6"/>
    <w:basedOn w:val="HeadingBase"/>
    <w:next w:val="Normal"/>
    <w:link w:val="Heading6Char"/>
    <w:qFormat/>
    <w:rsid w:val="00ED053E"/>
    <w:pPr>
      <w:spacing w:before="60"/>
      <w:outlineLvl w:val="5"/>
    </w:pPr>
    <w:rPr>
      <w:color w:val="918585"/>
      <w:sz w:val="20"/>
    </w:rPr>
  </w:style>
  <w:style w:type="paragraph" w:styleId="Heading7">
    <w:name w:val="heading 7"/>
    <w:basedOn w:val="Normal"/>
    <w:next w:val="Normal"/>
    <w:link w:val="Heading7Char"/>
    <w:qFormat/>
    <w:rsid w:val="00ED053E"/>
    <w:pPr>
      <w:ind w:left="720"/>
      <w:outlineLvl w:val="6"/>
    </w:pPr>
    <w:rPr>
      <w:i/>
    </w:rPr>
  </w:style>
  <w:style w:type="paragraph" w:styleId="Heading8">
    <w:name w:val="heading 8"/>
    <w:basedOn w:val="Normal"/>
    <w:next w:val="Normal"/>
    <w:link w:val="Heading8Char"/>
    <w:qFormat/>
    <w:rsid w:val="00ED053E"/>
    <w:pPr>
      <w:ind w:left="720"/>
      <w:outlineLvl w:val="7"/>
    </w:pPr>
    <w:rPr>
      <w:i/>
    </w:rPr>
  </w:style>
  <w:style w:type="paragraph" w:styleId="Heading9">
    <w:name w:val="heading 9"/>
    <w:basedOn w:val="Normal"/>
    <w:next w:val="Normal"/>
    <w:link w:val="Heading9Char"/>
    <w:qFormat/>
    <w:rsid w:val="00ED053E"/>
    <w:pPr>
      <w:ind w:left="720"/>
      <w:outlineLvl w:val="8"/>
    </w:pPr>
    <w:rPr>
      <w:i/>
    </w:rPr>
  </w:style>
  <w:style w:type="character" w:default="1" w:styleId="DefaultParagraphFont">
    <w:name w:val="Default Paragraph Font"/>
    <w:uiPriority w:val="1"/>
    <w:unhideWhenUsed/>
    <w:rsid w:val="00ED05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53E"/>
  </w:style>
  <w:style w:type="character" w:customStyle="1" w:styleId="Heading1Char">
    <w:name w:val="Heading 1 Char"/>
    <w:basedOn w:val="DefaultParagraphFont"/>
    <w:link w:val="Heading1"/>
    <w:rsid w:val="00ED053E"/>
    <w:rPr>
      <w:rFonts w:ascii="Times New Roman" w:eastAsia="Times New Roman" w:hAnsi="Times New Roman" w:cs="Times New Roman"/>
      <w:b/>
      <w:sz w:val="32"/>
      <w:szCs w:val="20"/>
      <w:lang w:eastAsia="en-US"/>
    </w:rPr>
  </w:style>
  <w:style w:type="paragraph" w:styleId="BodyText">
    <w:name w:val="Body Text"/>
    <w:basedOn w:val="Normal"/>
    <w:link w:val="BodyTextChar"/>
    <w:rsid w:val="00ED05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053E"/>
    <w:rPr>
      <w:rFonts w:ascii="Times New Roman" w:eastAsia="Times New Roman" w:hAnsi="Times New Roman" w:cs="Times New Roman"/>
      <w:sz w:val="24"/>
      <w:lang w:eastAsia="en-US"/>
    </w:rPr>
  </w:style>
  <w:style w:type="paragraph" w:styleId="ListBullet">
    <w:name w:val="List Bullet"/>
    <w:basedOn w:val="List"/>
    <w:rsid w:val="00ED053E"/>
    <w:pPr>
      <w:numPr>
        <w:numId w:val="12"/>
      </w:numPr>
      <w:tabs>
        <w:tab w:val="clear" w:pos="340"/>
      </w:tabs>
      <w:spacing w:before="40" w:after="40"/>
    </w:pPr>
  </w:style>
  <w:style w:type="character" w:customStyle="1" w:styleId="SpecialBold">
    <w:name w:val="Special Bold"/>
    <w:basedOn w:val="DefaultParagraphFont"/>
    <w:rsid w:val="00ED053E"/>
    <w:rPr>
      <w:b/>
      <w:spacing w:val="0"/>
    </w:rPr>
  </w:style>
  <w:style w:type="paragraph" w:styleId="ListBullet2">
    <w:name w:val="List Bullet 2"/>
    <w:basedOn w:val="List2"/>
    <w:rsid w:val="00ED053E"/>
    <w:pPr>
      <w:numPr>
        <w:numId w:val="13"/>
      </w:numPr>
      <w:tabs>
        <w:tab w:val="clear" w:pos="680"/>
      </w:tabs>
    </w:pPr>
  </w:style>
  <w:style w:type="paragraph" w:customStyle="1" w:styleId="SuperHeading">
    <w:name w:val="SuperHeading"/>
    <w:basedOn w:val="Normal"/>
    <w:rsid w:val="00ED053E"/>
    <w:pPr>
      <w:spacing w:before="240" w:after="120"/>
      <w:outlineLvl w:val="0"/>
    </w:pPr>
    <w:rPr>
      <w:rFonts w:ascii="Times New Roman" w:hAnsi="Times New Roman"/>
      <w:b/>
      <w:sz w:val="32"/>
    </w:rPr>
  </w:style>
  <w:style w:type="paragraph" w:customStyle="1" w:styleId="AllowPageBreak">
    <w:name w:val="AllowPageBreak"/>
    <w:rsid w:val="00ED05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05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5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5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5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5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5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05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053E"/>
    <w:rPr>
      <w:rFonts w:ascii="Courier New" w:eastAsia="Times New Roman" w:hAnsi="Courier New" w:cs="Times New Roman"/>
      <w:i/>
      <w:szCs w:val="20"/>
      <w:lang w:eastAsia="en-US"/>
    </w:rPr>
  </w:style>
  <w:style w:type="paragraph" w:customStyle="1" w:styleId="HeadingBase">
    <w:name w:val="Heading Base"/>
    <w:rsid w:val="00ED05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53E"/>
    <w:pPr>
      <w:tabs>
        <w:tab w:val="right" w:leader="dot" w:pos="9072"/>
      </w:tabs>
      <w:ind w:left="567"/>
    </w:pPr>
    <w:rPr>
      <w:szCs w:val="22"/>
    </w:rPr>
  </w:style>
  <w:style w:type="paragraph" w:customStyle="1" w:styleId="TOCBase">
    <w:name w:val="TOC Base"/>
    <w:rsid w:val="00ED05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53E"/>
    <w:pPr>
      <w:tabs>
        <w:tab w:val="right" w:leader="dot" w:pos="9072"/>
      </w:tabs>
      <w:spacing w:before="40" w:after="40"/>
      <w:ind w:left="284"/>
    </w:pPr>
    <w:rPr>
      <w:rFonts w:ascii="Times New Roman" w:hAnsi="Times New Roman"/>
    </w:rPr>
  </w:style>
  <w:style w:type="paragraph" w:styleId="TOC1">
    <w:name w:val="toc 1"/>
    <w:basedOn w:val="TOCBase"/>
    <w:next w:val="Normal"/>
    <w:rsid w:val="00ED05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05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53E"/>
    <w:rPr>
      <w:rFonts w:ascii="Times New Roman" w:eastAsia="Times New Roman" w:hAnsi="Times New Roman" w:cs="Times New Roman"/>
      <w:sz w:val="16"/>
      <w:lang w:eastAsia="en-US"/>
    </w:rPr>
  </w:style>
  <w:style w:type="paragraph" w:styleId="Title">
    <w:name w:val="Title"/>
    <w:basedOn w:val="HeadingBase"/>
    <w:link w:val="TitleChar"/>
    <w:qFormat/>
    <w:rsid w:val="00ED053E"/>
    <w:pPr>
      <w:spacing w:before="5040"/>
      <w:jc w:val="center"/>
    </w:pPr>
    <w:rPr>
      <w:sz w:val="48"/>
      <w:szCs w:val="72"/>
      <w:lang w:val="en-US"/>
    </w:rPr>
  </w:style>
  <w:style w:type="character" w:customStyle="1" w:styleId="TitleChar">
    <w:name w:val="Title Char"/>
    <w:basedOn w:val="DefaultParagraphFont"/>
    <w:link w:val="Title"/>
    <w:rsid w:val="00ED05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53E"/>
    <w:pPr>
      <w:tabs>
        <w:tab w:val="left" w:pos="3600"/>
        <w:tab w:val="left" w:pos="3958"/>
      </w:tabs>
    </w:pPr>
  </w:style>
  <w:style w:type="paragraph" w:styleId="List">
    <w:name w:val="List"/>
    <w:basedOn w:val="BodyText"/>
    <w:next w:val="BodyText"/>
    <w:rsid w:val="00ED053E"/>
    <w:pPr>
      <w:tabs>
        <w:tab w:val="left" w:pos="340"/>
      </w:tabs>
      <w:spacing w:before="60" w:after="60"/>
      <w:ind w:left="340" w:hanging="340"/>
    </w:pPr>
  </w:style>
  <w:style w:type="paragraph" w:customStyle="1" w:styleId="Note">
    <w:name w:val="Note"/>
    <w:basedOn w:val="BodyText"/>
    <w:rsid w:val="00ED05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53E"/>
    <w:pPr>
      <w:framePr w:wrap="auto" w:hAnchor="text" w:y="6049"/>
    </w:pPr>
    <w:rPr>
      <w:color w:val="000000"/>
      <w:sz w:val="40"/>
    </w:rPr>
  </w:style>
  <w:style w:type="paragraph" w:customStyle="1" w:styleId="TOCTitle">
    <w:name w:val="TOCTitle"/>
    <w:basedOn w:val="Heading1"/>
    <w:rsid w:val="00ED053E"/>
    <w:pPr>
      <w:spacing w:after="240"/>
      <w:jc w:val="center"/>
      <w:outlineLvl w:val="9"/>
    </w:pPr>
    <w:rPr>
      <w:caps/>
    </w:rPr>
  </w:style>
  <w:style w:type="paragraph" w:customStyle="1" w:styleId="Version">
    <w:name w:val="Version"/>
    <w:rsid w:val="00ED05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053E"/>
    <w:pPr>
      <w:keepNext w:val="0"/>
      <w:tabs>
        <w:tab w:val="right" w:pos="4176"/>
      </w:tabs>
      <w:ind w:left="198" w:hanging="198"/>
    </w:pPr>
    <w:rPr>
      <w:rFonts w:ascii="Garamond" w:hAnsi="Garamond"/>
    </w:rPr>
  </w:style>
  <w:style w:type="paragraph" w:styleId="IndexHeading">
    <w:name w:val="index heading"/>
    <w:basedOn w:val="Normal"/>
    <w:next w:val="Index1"/>
    <w:semiHidden/>
    <w:rsid w:val="00ED053E"/>
    <w:pPr>
      <w:spacing w:before="120" w:after="120"/>
    </w:pPr>
    <w:rPr>
      <w:rFonts w:ascii="Arial" w:hAnsi="Arial"/>
      <w:b/>
      <w:color w:val="918585"/>
      <w:sz w:val="24"/>
    </w:rPr>
  </w:style>
  <w:style w:type="paragraph" w:styleId="Header">
    <w:name w:val="header"/>
    <w:basedOn w:val="Normal"/>
    <w:link w:val="HeaderChar"/>
    <w:rsid w:val="00ED05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53E"/>
    <w:rPr>
      <w:rFonts w:ascii="Times New Roman" w:eastAsia="Times New Roman" w:hAnsi="Times New Roman" w:cs="Times New Roman"/>
      <w:sz w:val="16"/>
      <w:szCs w:val="20"/>
      <w:lang w:val="en-GB" w:eastAsia="en-US"/>
    </w:rPr>
  </w:style>
  <w:style w:type="paragraph" w:customStyle="1" w:styleId="Chapter">
    <w:name w:val="Chapter"/>
    <w:basedOn w:val="Normal"/>
    <w:rsid w:val="00ED053E"/>
    <w:pPr>
      <w:spacing w:before="240"/>
    </w:pPr>
    <w:rPr>
      <w:rFonts w:ascii="Times New Roman" w:hAnsi="Times New Roman"/>
      <w:smallCaps/>
      <w:spacing w:val="80"/>
      <w:sz w:val="28"/>
    </w:rPr>
  </w:style>
  <w:style w:type="paragraph" w:customStyle="1" w:styleId="InChapter">
    <w:name w:val="InChapter"/>
    <w:basedOn w:val="Heading3"/>
    <w:rsid w:val="00ED053E"/>
    <w:pPr>
      <w:spacing w:after="240"/>
      <w:outlineLvl w:val="9"/>
    </w:pPr>
    <w:rPr>
      <w:noProof/>
    </w:rPr>
  </w:style>
  <w:style w:type="paragraph" w:styleId="Index2">
    <w:name w:val="index 2"/>
    <w:basedOn w:val="Normal"/>
    <w:next w:val="Normal"/>
    <w:semiHidden/>
    <w:rsid w:val="00ED053E"/>
    <w:pPr>
      <w:tabs>
        <w:tab w:val="right" w:pos="4176"/>
      </w:tabs>
      <w:ind w:left="568" w:hanging="284"/>
    </w:pPr>
    <w:rPr>
      <w:rFonts w:ascii="Garamond" w:hAnsi="Garamond"/>
    </w:rPr>
  </w:style>
  <w:style w:type="paragraph" w:customStyle="1" w:styleId="Byline">
    <w:name w:val="Byline"/>
    <w:rsid w:val="00ED05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53E"/>
    <w:pPr>
      <w:tabs>
        <w:tab w:val="clear" w:pos="3600"/>
        <w:tab w:val="clear" w:pos="3958"/>
      </w:tabs>
      <w:jc w:val="right"/>
    </w:pPr>
  </w:style>
  <w:style w:type="character" w:styleId="Emphasis">
    <w:name w:val="Emphasis"/>
    <w:basedOn w:val="DefaultParagraphFont"/>
    <w:qFormat/>
    <w:rsid w:val="00ED053E"/>
    <w:rPr>
      <w:i/>
    </w:rPr>
  </w:style>
  <w:style w:type="paragraph" w:styleId="Caption">
    <w:name w:val="caption"/>
    <w:basedOn w:val="BodyText"/>
    <w:next w:val="Normal"/>
    <w:qFormat/>
    <w:rsid w:val="00ED053E"/>
    <w:pPr>
      <w:framePr w:w="2268" w:hSpace="181" w:vSpace="181" w:wrap="around" w:vAnchor="text" w:hAnchor="page" w:x="1135" w:y="285" w:anchorLock="1"/>
    </w:pPr>
    <w:rPr>
      <w:i/>
    </w:rPr>
  </w:style>
  <w:style w:type="paragraph" w:customStyle="1" w:styleId="MiniTOCTitle">
    <w:name w:val="MiniTOCTitle"/>
    <w:basedOn w:val="Heading4"/>
    <w:rsid w:val="00ED053E"/>
    <w:pPr>
      <w:spacing w:before="240"/>
      <w:outlineLvl w:val="9"/>
    </w:pPr>
    <w:rPr>
      <w:noProof/>
      <w:sz w:val="24"/>
    </w:rPr>
  </w:style>
  <w:style w:type="paragraph" w:customStyle="1" w:styleId="MiniTOCItem">
    <w:name w:val="MiniTOCItem"/>
    <w:basedOn w:val="ListBullet"/>
    <w:rsid w:val="00ED053E"/>
    <w:pPr>
      <w:numPr>
        <w:numId w:val="0"/>
      </w:numPr>
      <w:tabs>
        <w:tab w:val="right" w:leader="dot" w:pos="6521"/>
      </w:tabs>
      <w:spacing w:before="0" w:after="0"/>
    </w:pPr>
  </w:style>
  <w:style w:type="paragraph" w:customStyle="1" w:styleId="TOFTitle">
    <w:name w:val="TOFTitle"/>
    <w:basedOn w:val="TOCTitle"/>
    <w:rsid w:val="00ED053E"/>
  </w:style>
  <w:style w:type="paragraph" w:styleId="TableofFigures">
    <w:name w:val="table of figures"/>
    <w:basedOn w:val="Normal"/>
    <w:next w:val="Normal"/>
    <w:semiHidden/>
    <w:rsid w:val="00ED053E"/>
    <w:pPr>
      <w:tabs>
        <w:tab w:val="right" w:leader="dot" w:pos="9072"/>
      </w:tabs>
      <w:ind w:left="970" w:hanging="403"/>
    </w:pPr>
    <w:rPr>
      <w:rFonts w:ascii="Times New Roman" w:hAnsi="Times New Roman"/>
      <w:b/>
    </w:rPr>
  </w:style>
  <w:style w:type="paragraph" w:styleId="ListNumber">
    <w:name w:val="List Number"/>
    <w:basedOn w:val="List"/>
    <w:rsid w:val="00ED053E"/>
    <w:pPr>
      <w:numPr>
        <w:numId w:val="15"/>
      </w:numPr>
      <w:tabs>
        <w:tab w:val="clear" w:pos="340"/>
      </w:tabs>
    </w:pPr>
  </w:style>
  <w:style w:type="character" w:customStyle="1" w:styleId="WingdingSymbols">
    <w:name w:val="Wingding Symbols"/>
    <w:rsid w:val="00ED053E"/>
    <w:rPr>
      <w:rFonts w:ascii="Wingdings" w:hAnsi="Wingdings"/>
    </w:rPr>
  </w:style>
  <w:style w:type="paragraph" w:customStyle="1" w:styleId="TableHeading">
    <w:name w:val="Table Heading"/>
    <w:basedOn w:val="HeadingBase"/>
    <w:rsid w:val="00ED053E"/>
    <w:pPr>
      <w:keepLines/>
      <w:pBdr>
        <w:bottom w:val="single" w:sz="6" w:space="1" w:color="918585"/>
      </w:pBdr>
      <w:spacing w:before="240"/>
    </w:pPr>
  </w:style>
  <w:style w:type="character" w:customStyle="1" w:styleId="HotSpot">
    <w:name w:val="HotSpot"/>
    <w:rsid w:val="00ED053E"/>
    <w:rPr>
      <w:color w:val="0033CC"/>
      <w:u w:val="none"/>
    </w:rPr>
  </w:style>
  <w:style w:type="paragraph" w:customStyle="1" w:styleId="BodyTextRight">
    <w:name w:val="Body Text Right"/>
    <w:basedOn w:val="BodyText"/>
    <w:rsid w:val="00ED053E"/>
    <w:pPr>
      <w:spacing w:before="0" w:after="0"/>
      <w:jc w:val="right"/>
    </w:pPr>
  </w:style>
  <w:style w:type="paragraph" w:styleId="Index3">
    <w:name w:val="index 3"/>
    <w:basedOn w:val="ListNumber2"/>
    <w:next w:val="Normal"/>
    <w:semiHidden/>
    <w:rsid w:val="00ED053E"/>
    <w:pPr>
      <w:numPr>
        <w:numId w:val="0"/>
      </w:numPr>
      <w:tabs>
        <w:tab w:val="right" w:leader="dot" w:pos="4176"/>
      </w:tabs>
    </w:pPr>
  </w:style>
  <w:style w:type="paragraph" w:styleId="ListNumber2">
    <w:name w:val="List Number 2"/>
    <w:basedOn w:val="List2"/>
    <w:rsid w:val="00ED053E"/>
    <w:pPr>
      <w:numPr>
        <w:numId w:val="10"/>
      </w:numPr>
      <w:tabs>
        <w:tab w:val="clear" w:pos="1060"/>
      </w:tabs>
    </w:pPr>
  </w:style>
  <w:style w:type="paragraph" w:customStyle="1" w:styleId="MarginNote">
    <w:name w:val="Margin Note"/>
    <w:basedOn w:val="BodyText"/>
    <w:rsid w:val="00ED05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5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5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053E"/>
    <w:rPr>
      <w:sz w:val="32"/>
    </w:rPr>
  </w:style>
  <w:style w:type="paragraph" w:customStyle="1" w:styleId="HeadingProcedure">
    <w:name w:val="Heading Procedure"/>
    <w:basedOn w:val="HeadingBase"/>
    <w:next w:val="Normal"/>
    <w:rsid w:val="00ED053E"/>
    <w:pPr>
      <w:tabs>
        <w:tab w:val="left" w:pos="0"/>
      </w:tabs>
      <w:spacing w:before="120" w:after="60"/>
    </w:pPr>
    <w:rPr>
      <w:i/>
      <w:color w:val="918585"/>
      <w:sz w:val="22"/>
    </w:rPr>
  </w:style>
  <w:style w:type="paragraph" w:customStyle="1" w:styleId="TableBodyText">
    <w:name w:val="Table Body Text"/>
    <w:basedOn w:val="BodyText"/>
    <w:rsid w:val="00ED053E"/>
    <w:pPr>
      <w:spacing w:before="60" w:after="60"/>
    </w:pPr>
  </w:style>
  <w:style w:type="paragraph" w:styleId="ListContinue">
    <w:name w:val="List Continue"/>
    <w:basedOn w:val="List"/>
    <w:rsid w:val="00ED053E"/>
    <w:pPr>
      <w:ind w:firstLine="0"/>
    </w:pPr>
  </w:style>
  <w:style w:type="paragraph" w:customStyle="1" w:styleId="ListNote">
    <w:name w:val="List Note"/>
    <w:basedOn w:val="List"/>
    <w:rsid w:val="00ED053E"/>
    <w:pPr>
      <w:pBdr>
        <w:top w:val="single" w:sz="6" w:space="2" w:color="918585"/>
        <w:bottom w:val="single" w:sz="6" w:space="2" w:color="918585"/>
      </w:pBdr>
      <w:tabs>
        <w:tab w:val="left" w:pos="1021"/>
      </w:tabs>
      <w:ind w:firstLine="0"/>
    </w:pPr>
  </w:style>
  <w:style w:type="paragraph" w:customStyle="1" w:styleId="Warning">
    <w:name w:val="Warning"/>
    <w:basedOn w:val="BodyText"/>
    <w:rsid w:val="00ED053E"/>
    <w:pPr>
      <w:shd w:val="clear" w:color="auto" w:fill="D9D9D9"/>
      <w:tabs>
        <w:tab w:val="left" w:pos="992"/>
      </w:tabs>
      <w:ind w:left="119" w:right="119"/>
    </w:pPr>
    <w:rPr>
      <w:sz w:val="20"/>
    </w:rPr>
  </w:style>
  <w:style w:type="paragraph" w:customStyle="1" w:styleId="MarginIcons">
    <w:name w:val="Margin Icons"/>
    <w:basedOn w:val="BodyText"/>
    <w:rsid w:val="00ED05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53E"/>
    <w:rPr>
      <w:rFonts w:ascii="Courier New" w:hAnsi="Courier New"/>
    </w:rPr>
  </w:style>
  <w:style w:type="paragraph" w:customStyle="1" w:styleId="NoteBullet">
    <w:name w:val="Note Bullet"/>
    <w:basedOn w:val="Note"/>
    <w:rsid w:val="00ED053E"/>
    <w:pPr>
      <w:tabs>
        <w:tab w:val="clear" w:pos="680"/>
      </w:tabs>
      <w:spacing w:before="60" w:after="60"/>
    </w:pPr>
  </w:style>
  <w:style w:type="paragraph" w:customStyle="1" w:styleId="SubHeading2">
    <w:name w:val="SubHeading2"/>
    <w:basedOn w:val="HeadingBase"/>
    <w:rsid w:val="00ED053E"/>
    <w:pPr>
      <w:spacing w:before="240" w:after="60"/>
    </w:pPr>
    <w:rPr>
      <w:sz w:val="20"/>
    </w:rPr>
  </w:style>
  <w:style w:type="paragraph" w:customStyle="1" w:styleId="SubHeading1">
    <w:name w:val="SubHeading1"/>
    <w:basedOn w:val="HeadingBase"/>
    <w:rsid w:val="00ED053E"/>
    <w:pPr>
      <w:spacing w:before="240" w:after="60"/>
    </w:pPr>
    <w:rPr>
      <w:color w:val="918585"/>
      <w:sz w:val="22"/>
    </w:rPr>
  </w:style>
  <w:style w:type="paragraph" w:customStyle="1" w:styleId="SideHeading">
    <w:name w:val="Side Heading"/>
    <w:basedOn w:val="HeadingBase"/>
    <w:rsid w:val="00ED05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53E"/>
    <w:pPr>
      <w:tabs>
        <w:tab w:val="num" w:pos="360"/>
      </w:tabs>
    </w:pPr>
  </w:style>
  <w:style w:type="paragraph" w:styleId="PlainText">
    <w:name w:val="Plain Text"/>
    <w:basedOn w:val="Normal"/>
    <w:link w:val="PlainTextChar"/>
    <w:rsid w:val="00ED053E"/>
    <w:rPr>
      <w:sz w:val="20"/>
    </w:rPr>
  </w:style>
  <w:style w:type="character" w:customStyle="1" w:styleId="PlainTextChar">
    <w:name w:val="Plain Text Char"/>
    <w:basedOn w:val="DefaultParagraphFont"/>
    <w:link w:val="PlainText"/>
    <w:rsid w:val="00ED053E"/>
    <w:rPr>
      <w:rFonts w:ascii="Courier New" w:eastAsia="Times New Roman" w:hAnsi="Courier New" w:cs="Times New Roman"/>
      <w:sz w:val="20"/>
      <w:szCs w:val="20"/>
      <w:lang w:eastAsia="en-US"/>
    </w:rPr>
  </w:style>
  <w:style w:type="character" w:customStyle="1" w:styleId="MenuOption">
    <w:name w:val="Menu Option"/>
    <w:basedOn w:val="DefaultParagraphFont"/>
    <w:rsid w:val="00ED053E"/>
    <w:rPr>
      <w:b/>
      <w:smallCaps/>
    </w:rPr>
  </w:style>
  <w:style w:type="paragraph" w:customStyle="1" w:styleId="TableListNumber">
    <w:name w:val="Table List Number"/>
    <w:basedOn w:val="ListNumber"/>
    <w:rsid w:val="00ED053E"/>
    <w:pPr>
      <w:numPr>
        <w:numId w:val="0"/>
      </w:numPr>
    </w:pPr>
  </w:style>
  <w:style w:type="paragraph" w:styleId="TOC4">
    <w:name w:val="toc 4"/>
    <w:basedOn w:val="TOCBase"/>
    <w:next w:val="Normal"/>
    <w:semiHidden/>
    <w:rsid w:val="00ED053E"/>
    <w:pPr>
      <w:tabs>
        <w:tab w:val="right" w:leader="dot" w:pos="9071"/>
      </w:tabs>
      <w:ind w:left="1701"/>
    </w:pPr>
  </w:style>
  <w:style w:type="paragraph" w:customStyle="1" w:styleId="ListAlpha">
    <w:name w:val="List Alpha"/>
    <w:basedOn w:val="List"/>
    <w:rsid w:val="00ED053E"/>
    <w:pPr>
      <w:numPr>
        <w:numId w:val="9"/>
      </w:numPr>
    </w:pPr>
  </w:style>
  <w:style w:type="paragraph" w:customStyle="1" w:styleId="ListAlpha2">
    <w:name w:val="List Alpha 2"/>
    <w:basedOn w:val="List2"/>
    <w:rsid w:val="00ED053E"/>
    <w:pPr>
      <w:numPr>
        <w:numId w:val="8"/>
      </w:numPr>
    </w:pPr>
  </w:style>
  <w:style w:type="paragraph" w:styleId="List2">
    <w:name w:val="List 2"/>
    <w:basedOn w:val="BodyText"/>
    <w:rsid w:val="00ED053E"/>
    <w:pPr>
      <w:tabs>
        <w:tab w:val="left" w:pos="680"/>
      </w:tabs>
      <w:spacing w:before="60" w:after="60"/>
      <w:ind w:left="680" w:hanging="340"/>
    </w:pPr>
  </w:style>
  <w:style w:type="paragraph" w:styleId="List3">
    <w:name w:val="List 3"/>
    <w:basedOn w:val="BodyText"/>
    <w:rsid w:val="00ED053E"/>
    <w:pPr>
      <w:tabs>
        <w:tab w:val="left" w:pos="1021"/>
      </w:tabs>
      <w:spacing w:before="60" w:after="60"/>
      <w:ind w:left="1020" w:hanging="340"/>
    </w:pPr>
  </w:style>
  <w:style w:type="paragraph" w:styleId="List4">
    <w:name w:val="List 4"/>
    <w:basedOn w:val="BodyText"/>
    <w:rsid w:val="00ED053E"/>
    <w:pPr>
      <w:tabs>
        <w:tab w:val="left" w:pos="1361"/>
      </w:tabs>
      <w:spacing w:before="60" w:after="60"/>
      <w:ind w:left="1361" w:hanging="340"/>
    </w:pPr>
  </w:style>
  <w:style w:type="paragraph" w:styleId="List5">
    <w:name w:val="List 5"/>
    <w:basedOn w:val="BodyText"/>
    <w:rsid w:val="00ED053E"/>
    <w:pPr>
      <w:tabs>
        <w:tab w:val="left" w:pos="1701"/>
      </w:tabs>
      <w:spacing w:before="60" w:after="60"/>
      <w:ind w:left="1701" w:hanging="340"/>
    </w:pPr>
  </w:style>
  <w:style w:type="paragraph" w:styleId="ListBullet3">
    <w:name w:val="List Bullet 3"/>
    <w:basedOn w:val="List3"/>
    <w:rsid w:val="00ED053E"/>
    <w:pPr>
      <w:numPr>
        <w:numId w:val="14"/>
      </w:numPr>
      <w:tabs>
        <w:tab w:val="clear" w:pos="1021"/>
      </w:tabs>
      <w:ind w:left="1037" w:hanging="357"/>
    </w:pPr>
  </w:style>
  <w:style w:type="paragraph" w:styleId="ListBullet4">
    <w:name w:val="List Bullet 4"/>
    <w:basedOn w:val="List4"/>
    <w:rsid w:val="00ED053E"/>
    <w:pPr>
      <w:numPr>
        <w:numId w:val="3"/>
      </w:numPr>
      <w:tabs>
        <w:tab w:val="clear" w:pos="1361"/>
      </w:tabs>
    </w:pPr>
  </w:style>
  <w:style w:type="paragraph" w:styleId="ListBullet5">
    <w:name w:val="List Bullet 5"/>
    <w:basedOn w:val="List5"/>
    <w:rsid w:val="00ED053E"/>
    <w:pPr>
      <w:numPr>
        <w:numId w:val="4"/>
      </w:numPr>
    </w:pPr>
  </w:style>
  <w:style w:type="paragraph" w:styleId="ListContinue2">
    <w:name w:val="List Continue 2"/>
    <w:basedOn w:val="List2"/>
    <w:rsid w:val="00ED053E"/>
    <w:pPr>
      <w:ind w:firstLine="0"/>
    </w:pPr>
  </w:style>
  <w:style w:type="paragraph" w:styleId="ListContinue3">
    <w:name w:val="List Continue 3"/>
    <w:basedOn w:val="List3"/>
    <w:rsid w:val="00ED053E"/>
    <w:pPr>
      <w:ind w:left="1021" w:firstLine="0"/>
    </w:pPr>
  </w:style>
  <w:style w:type="paragraph" w:styleId="ListContinue4">
    <w:name w:val="List Continue 4"/>
    <w:basedOn w:val="List4"/>
    <w:rsid w:val="00ED053E"/>
    <w:pPr>
      <w:ind w:firstLine="0"/>
    </w:pPr>
  </w:style>
  <w:style w:type="paragraph" w:styleId="ListContinue5">
    <w:name w:val="List Continue 5"/>
    <w:basedOn w:val="List5"/>
    <w:rsid w:val="00ED053E"/>
    <w:pPr>
      <w:ind w:firstLine="0"/>
    </w:pPr>
  </w:style>
  <w:style w:type="paragraph" w:styleId="ListNumber3">
    <w:name w:val="List Number 3"/>
    <w:basedOn w:val="List3"/>
    <w:rsid w:val="00ED053E"/>
    <w:pPr>
      <w:numPr>
        <w:numId w:val="5"/>
      </w:numPr>
    </w:pPr>
  </w:style>
  <w:style w:type="paragraph" w:styleId="ListNumber4">
    <w:name w:val="List Number 4"/>
    <w:basedOn w:val="List4"/>
    <w:rsid w:val="00ED053E"/>
    <w:pPr>
      <w:numPr>
        <w:numId w:val="6"/>
      </w:numPr>
    </w:pPr>
  </w:style>
  <w:style w:type="paragraph" w:styleId="ListNumber5">
    <w:name w:val="List Number 5"/>
    <w:basedOn w:val="List5"/>
    <w:rsid w:val="00ED053E"/>
    <w:pPr>
      <w:numPr>
        <w:numId w:val="7"/>
      </w:numPr>
    </w:pPr>
  </w:style>
  <w:style w:type="paragraph" w:styleId="BlockText">
    <w:name w:val="Block Text"/>
    <w:basedOn w:val="Normal"/>
    <w:rsid w:val="00ED053E"/>
    <w:pPr>
      <w:spacing w:after="120"/>
      <w:ind w:left="1440" w:right="1440"/>
    </w:pPr>
  </w:style>
  <w:style w:type="character" w:customStyle="1" w:styleId="Subscript">
    <w:name w:val="Subscript"/>
    <w:basedOn w:val="DefaultParagraphFont"/>
    <w:rsid w:val="00ED053E"/>
    <w:rPr>
      <w:sz w:val="16"/>
      <w:vertAlign w:val="subscript"/>
    </w:rPr>
  </w:style>
  <w:style w:type="character" w:customStyle="1" w:styleId="Superscript">
    <w:name w:val="Superscript"/>
    <w:basedOn w:val="DefaultParagraphFont"/>
    <w:rsid w:val="00ED053E"/>
    <w:rPr>
      <w:sz w:val="16"/>
      <w:vertAlign w:val="superscript"/>
    </w:rPr>
  </w:style>
  <w:style w:type="character" w:customStyle="1" w:styleId="Symbols">
    <w:name w:val="Symbols"/>
    <w:basedOn w:val="DefaultParagraphFont"/>
    <w:rsid w:val="00ED053E"/>
    <w:rPr>
      <w:rFonts w:ascii="Symbol" w:hAnsi="Symbol"/>
    </w:rPr>
  </w:style>
  <w:style w:type="character" w:customStyle="1" w:styleId="MenuOptions">
    <w:name w:val="Menu Options"/>
    <w:basedOn w:val="DefaultParagraphFont"/>
    <w:rsid w:val="00ED053E"/>
    <w:rPr>
      <w:rFonts w:ascii="Arial Narrow" w:hAnsi="Arial Narrow"/>
      <w:smallCaps/>
    </w:rPr>
  </w:style>
  <w:style w:type="character" w:customStyle="1" w:styleId="Buttons">
    <w:name w:val="Buttons"/>
    <w:basedOn w:val="DefaultParagraphFont"/>
    <w:rsid w:val="00ED053E"/>
    <w:rPr>
      <w:b/>
    </w:rPr>
  </w:style>
  <w:style w:type="character" w:customStyle="1" w:styleId="Underlined">
    <w:name w:val="Underlined"/>
    <w:basedOn w:val="DefaultParagraphFont"/>
    <w:rsid w:val="00ED053E"/>
    <w:rPr>
      <w:u w:val="single"/>
    </w:rPr>
  </w:style>
  <w:style w:type="paragraph" w:customStyle="1" w:styleId="TableBodyTextRight">
    <w:name w:val="Table Body Text Right"/>
    <w:basedOn w:val="TableBodyText"/>
    <w:rsid w:val="00ED053E"/>
    <w:pPr>
      <w:widowControl w:val="0"/>
      <w:autoSpaceDE w:val="0"/>
      <w:autoSpaceDN w:val="0"/>
      <w:adjustRightInd w:val="0"/>
      <w:jc w:val="right"/>
    </w:pPr>
    <w:rPr>
      <w:rFonts w:cs="Arial"/>
      <w:szCs w:val="18"/>
    </w:rPr>
  </w:style>
  <w:style w:type="paragraph" w:customStyle="1" w:styleId="CopyrightText">
    <w:name w:val="Copyright Text"/>
    <w:basedOn w:val="BodyText"/>
    <w:rsid w:val="00ED053E"/>
    <w:rPr>
      <w:sz w:val="18"/>
    </w:rPr>
  </w:style>
  <w:style w:type="paragraph" w:customStyle="1" w:styleId="BodySmallRight">
    <w:name w:val="Body Small Right"/>
    <w:basedOn w:val="BodyTextRight"/>
    <w:rsid w:val="00ED053E"/>
    <w:rPr>
      <w:sz w:val="18"/>
      <w:szCs w:val="18"/>
    </w:rPr>
  </w:style>
  <w:style w:type="paragraph" w:customStyle="1" w:styleId="MarginEdition">
    <w:name w:val="Margin Edition"/>
    <w:basedOn w:val="MarginNote"/>
    <w:rsid w:val="00ED053E"/>
    <w:pPr>
      <w:spacing w:before="0" w:after="0"/>
    </w:pPr>
    <w:rPr>
      <w:rFonts w:ascii="Times New Roman" w:hAnsi="Times New Roman"/>
      <w:color w:val="999999"/>
    </w:rPr>
  </w:style>
  <w:style w:type="paragraph" w:customStyle="1" w:styleId="Spacer">
    <w:name w:val="Spacer"/>
    <w:basedOn w:val="Normal"/>
    <w:rsid w:val="00ED053E"/>
    <w:rPr>
      <w:sz w:val="2"/>
      <w:szCs w:val="2"/>
    </w:rPr>
  </w:style>
  <w:style w:type="character" w:customStyle="1" w:styleId="Small">
    <w:name w:val="Small"/>
    <w:basedOn w:val="DefaultParagraphFont"/>
    <w:rsid w:val="00ED053E"/>
    <w:rPr>
      <w:sz w:val="16"/>
    </w:rPr>
  </w:style>
  <w:style w:type="paragraph" w:customStyle="1" w:styleId="WideTable">
    <w:name w:val="Wide Table"/>
    <w:basedOn w:val="Normal"/>
    <w:rsid w:val="00ED053E"/>
    <w:pPr>
      <w:ind w:left="-1418"/>
    </w:pPr>
    <w:rPr>
      <w:sz w:val="2"/>
      <w:szCs w:val="2"/>
    </w:rPr>
  </w:style>
  <w:style w:type="character" w:styleId="PageNumber">
    <w:name w:val="page number"/>
    <w:basedOn w:val="DefaultParagraphFont"/>
    <w:rsid w:val="00ED053E"/>
  </w:style>
  <w:style w:type="paragraph" w:styleId="Quote">
    <w:name w:val="Quote"/>
    <w:basedOn w:val="Heading1"/>
    <w:link w:val="QuoteChar"/>
    <w:qFormat/>
    <w:rsid w:val="00ED053E"/>
    <w:rPr>
      <w:b w:val="0"/>
      <w:sz w:val="72"/>
      <w:szCs w:val="72"/>
      <w:lang w:val="en-NZ"/>
    </w:rPr>
  </w:style>
  <w:style w:type="character" w:customStyle="1" w:styleId="QuoteChar">
    <w:name w:val="Quote Char"/>
    <w:basedOn w:val="DefaultParagraphFont"/>
    <w:link w:val="Quote"/>
    <w:rsid w:val="00ED05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53E"/>
    <w:pPr>
      <w:pageBreakBefore/>
    </w:pPr>
  </w:style>
  <w:style w:type="paragraph" w:customStyle="1" w:styleId="Border">
    <w:name w:val="Border"/>
    <w:basedOn w:val="Normal"/>
    <w:qFormat/>
    <w:rsid w:val="00ED05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53E"/>
    <w:rPr>
      <w:b/>
      <w:bCs/>
      <w:i/>
      <w:iCs/>
      <w:color w:val="auto"/>
    </w:rPr>
  </w:style>
  <w:style w:type="paragraph" w:styleId="IntenseQuote">
    <w:name w:val="Intense Quote"/>
    <w:basedOn w:val="Normal"/>
    <w:next w:val="Normal"/>
    <w:link w:val="IntenseQuoteChar"/>
    <w:uiPriority w:val="30"/>
    <w:qFormat/>
    <w:rsid w:val="00ED05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5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053E"/>
    <w:rPr>
      <w:smallCaps/>
      <w:color w:val="auto"/>
      <w:u w:val="single"/>
    </w:rPr>
  </w:style>
  <w:style w:type="character" w:styleId="IntenseReference">
    <w:name w:val="Intense Reference"/>
    <w:basedOn w:val="DefaultParagraphFont"/>
    <w:uiPriority w:val="32"/>
    <w:qFormat/>
    <w:rsid w:val="00ED053E"/>
    <w:rPr>
      <w:b/>
      <w:bCs/>
      <w:smallCaps/>
      <w:color w:val="auto"/>
      <w:spacing w:val="5"/>
      <w:u w:val="single"/>
    </w:rPr>
  </w:style>
  <w:style w:type="paragraph" w:customStyle="1" w:styleId="2ColumnHeading">
    <w:name w:val="2Column Heading"/>
    <w:basedOn w:val="BodyText"/>
    <w:qFormat/>
    <w:rsid w:val="00ED053E"/>
    <w:pPr>
      <w:spacing w:after="60"/>
      <w:ind w:left="-2268"/>
    </w:pPr>
    <w:rPr>
      <w:b/>
    </w:rPr>
  </w:style>
  <w:style w:type="paragraph" w:customStyle="1" w:styleId="Heading1TOC">
    <w:name w:val="Heading1 TOC"/>
    <w:basedOn w:val="Normal"/>
    <w:qFormat/>
    <w:rsid w:val="00ED053E"/>
    <w:pPr>
      <w:spacing w:before="240" w:after="120"/>
    </w:pPr>
    <w:rPr>
      <w:rFonts w:ascii="Times New Roman" w:hAnsi="Times New Roman"/>
      <w:b/>
      <w:sz w:val="32"/>
    </w:rPr>
  </w:style>
  <w:style w:type="paragraph" w:customStyle="1" w:styleId="Heading2TOC">
    <w:name w:val="Heading2 TOC"/>
    <w:basedOn w:val="Normal"/>
    <w:qFormat/>
    <w:rsid w:val="00ED053E"/>
    <w:pPr>
      <w:spacing w:before="240" w:after="60"/>
    </w:pPr>
    <w:rPr>
      <w:rFonts w:ascii="Times New Roman" w:hAnsi="Times New Roman"/>
      <w:b/>
      <w:sz w:val="28"/>
    </w:rPr>
  </w:style>
  <w:style w:type="character" w:customStyle="1" w:styleId="Underline">
    <w:name w:val="Underline"/>
    <w:basedOn w:val="DefaultParagraphFont"/>
    <w:qFormat/>
    <w:rsid w:val="00ED053E"/>
    <w:rPr>
      <w:u w:val="single"/>
    </w:rPr>
  </w:style>
  <w:style w:type="character" w:customStyle="1" w:styleId="BoldandItalics">
    <w:name w:val="Bold and Italics"/>
    <w:qFormat/>
    <w:rsid w:val="00ED053E"/>
    <w:rPr>
      <w:b/>
      <w:i/>
      <w:u w:val="none"/>
    </w:rPr>
  </w:style>
  <w:style w:type="paragraph" w:styleId="BalloonText">
    <w:name w:val="Balloon Text"/>
    <w:basedOn w:val="Normal"/>
    <w:link w:val="BalloonTextChar"/>
    <w:rsid w:val="00ED053E"/>
    <w:rPr>
      <w:rFonts w:ascii="Tahoma" w:hAnsi="Tahoma" w:cs="Tahoma"/>
      <w:sz w:val="16"/>
      <w:szCs w:val="16"/>
    </w:rPr>
  </w:style>
  <w:style w:type="character" w:customStyle="1" w:styleId="BalloonTextChar">
    <w:name w:val="Balloon Text Char"/>
    <w:basedOn w:val="DefaultParagraphFont"/>
    <w:link w:val="BalloonText"/>
    <w:rsid w:val="00ED05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05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05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053E"/>
    <w:rPr>
      <w:b/>
      <w:color w:val="660033"/>
      <w:spacing w:val="0"/>
    </w:rPr>
  </w:style>
  <w:style w:type="paragraph" w:customStyle="1" w:styleId="Nameditemlist">
    <w:name w:val="Named item list"/>
    <w:basedOn w:val="BodyText"/>
    <w:qFormat/>
    <w:rsid w:val="00ED053E"/>
    <w:pPr>
      <w:tabs>
        <w:tab w:val="left" w:pos="2835"/>
      </w:tabs>
      <w:ind w:left="2835" w:hanging="2835"/>
    </w:pPr>
  </w:style>
  <w:style w:type="paragraph" w:customStyle="1" w:styleId="BodyTextnopadding">
    <w:name w:val="Body Text no padding"/>
    <w:basedOn w:val="BodyText"/>
    <w:qFormat/>
    <w:rsid w:val="00ED053E"/>
    <w:pPr>
      <w:spacing w:before="0" w:after="0"/>
    </w:pPr>
  </w:style>
  <w:style w:type="paragraph" w:customStyle="1" w:styleId="BodyTextBold">
    <w:name w:val="Body Text Bold"/>
    <w:basedOn w:val="BodyText"/>
    <w:qFormat/>
    <w:rsid w:val="00ED053E"/>
    <w:rPr>
      <w:b/>
    </w:rPr>
  </w:style>
  <w:style w:type="character" w:styleId="Hyperlink">
    <w:name w:val="Hyperlink"/>
    <w:basedOn w:val="DefaultParagraphFont"/>
    <w:uiPriority w:val="99"/>
    <w:unhideWhenUsed/>
    <w:rsid w:val="00C847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770</Words>
  <Characters>5022</Characters>
  <Application>Microsoft Office Word</Application>
  <DocSecurity>0</DocSecurity>
  <Lines>179</Lines>
  <Paragraphs>109</Paragraphs>
  <ScaleCrop>false</ScaleCrop>
  <Company>Author-it Software Corporation Ltd.</Company>
  <LinksUpToDate>false</LinksUpToDate>
  <CharactersWithSpaces>5683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DEFFOR017 Detect, collect and record digital evidence</dc:title>
  <dc:subject>Approved</dc:subject>
  <dc:creator>Public Skills Australia</dc:creator>
  <cp:keywords>Release: 1</cp:keywords>
  <dc:description>Review Date: 12 April 2008</dc:description>
  <cp:lastModifiedBy>HSD_TPCMSd.prod</cp:lastModifiedBy>
  <cp:revision>3</cp:revision>
  <dcterms:created xsi:type="dcterms:W3CDTF">2025-03-01T08:20:00Z</dcterms:created>
  <dcterms:modified xsi:type="dcterms:W3CDTF">2025-03-01T08:20:00Z</dcterms:modified>
</cp:coreProperties>
</file>