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1378" w:rsidP="00831378">
      <w:pPr>
        <w:pStyle w:val="Title"/>
      </w:pPr>
      <w:r>
        <w:fldChar w:fldCharType="begin"/>
      </w:r>
      <w:r>
        <w:instrText xml:space="preserve"> TITLE   \* MERGEFORMAT </w:instrText>
      </w:r>
      <w:r>
        <w:fldChar w:fldCharType="separate"/>
      </w:r>
      <w:r>
        <w:t>DEFFOR015 Conduct digital data search and analysis</w:t>
      </w:r>
      <w:r>
        <w:fldChar w:fldCharType="end"/>
      </w:r>
    </w:p>
    <w:p w:rsidR="00831378" w:rsidP="00831378">
      <w:pPr>
        <w:pStyle w:val="Version"/>
        <w:sectPr w:rsidSect="003B4B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4B29" w:rsidP="003B4B29">
      <w:pPr>
        <w:pStyle w:val="SuperHeading"/>
      </w:pPr>
      <w:r w:rsidRPr="003B4B29">
        <w:t>DEFFOR015 Conduct digital data search and analysis</w:t>
      </w:r>
    </w:p>
    <w:p w:rsidR="00000000" w:rsidRPr="003B4B29" w:rsidP="003B4B29">
      <w:pPr>
        <w:pStyle w:val="Heading1"/>
      </w:pPr>
      <w:bookmarkStart w:id="1" w:name="O_1238639"/>
      <w:bookmarkEnd w:id="1"/>
      <w:r w:rsidRPr="003B4B29">
        <w:t>Modification History</w:t>
      </w:r>
    </w:p>
    <w:tbl>
      <w:tblPr>
        <w:tblW w:w="9497" w:type="dxa"/>
        <w:tblLayout w:type="fixed"/>
        <w:tblCellMar>
          <w:left w:w="62" w:type="dxa"/>
          <w:right w:w="62" w:type="dxa"/>
        </w:tblCellMar>
        <w:tblLook w:val="0000"/>
      </w:tblPr>
      <w:tblGrid>
        <w:gridCol w:w="9497"/>
      </w:tblGrid>
      <w:tr w:rsidTr="003B4B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4B29" w:rsidP="003B4B29">
            <w:pPr>
              <w:pStyle w:val="BodyText"/>
            </w:pPr>
            <w:r w:rsidRPr="003B4B29">
              <w:t>Release 1. This is the first release of this unit of competency in the DEF Defence Training Package.</w:t>
            </w:r>
          </w:p>
        </w:tc>
      </w:tr>
    </w:tbl>
    <w:p w:rsidR="00000000" w:rsidRPr="003B4B29" w:rsidP="003B4B29">
      <w:pPr>
        <w:pStyle w:val="NoPaddingFontSize1"/>
      </w:pPr>
    </w:p>
    <w:p w:rsidR="00000000" w:rsidRPr="003B4B29" w:rsidP="003B4B29">
      <w:pPr>
        <w:pStyle w:val="AllowPageBreak"/>
      </w:pPr>
    </w:p>
    <w:p w:rsidR="00000000" w:rsidRPr="003B4B29" w:rsidP="003B4B29">
      <w:pPr>
        <w:pStyle w:val="Heading1"/>
      </w:pPr>
      <w:bookmarkStart w:id="2" w:name="O_1238640"/>
      <w:bookmarkEnd w:id="2"/>
      <w:r w:rsidRPr="003B4B29">
        <w:t>Application</w:t>
      </w:r>
    </w:p>
    <w:tbl>
      <w:tblPr>
        <w:tblW w:w="9497" w:type="dxa"/>
        <w:tblLayout w:type="fixed"/>
        <w:tblCellMar>
          <w:left w:w="62" w:type="dxa"/>
          <w:right w:w="62" w:type="dxa"/>
        </w:tblCellMar>
        <w:tblLook w:val="0000"/>
      </w:tblPr>
      <w:tblGrid>
        <w:gridCol w:w="9497"/>
      </w:tblGrid>
      <w:tr w:rsidTr="003B4B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4B29" w:rsidP="003B4B29">
            <w:pPr>
              <w:pStyle w:val="BodyText"/>
            </w:pPr>
            <w:r w:rsidRPr="003B4B29">
              <w:t xml:space="preserve">This unit describes the skills and knowledge required to analyse digital data that has been </w:t>
            </w:r>
            <w:r w:rsidRPr="003B4B29">
              <w:t xml:space="preserve">acquired through a range of digital forensic methodologies. It includes analysing digital storage devices for artefacts that may become evidence. </w:t>
            </w:r>
          </w:p>
          <w:p w:rsidR="00000000" w:rsidRPr="003B4B29" w:rsidP="003B4B29">
            <w:pPr>
              <w:pStyle w:val="BodyText"/>
            </w:pPr>
            <w:r w:rsidRPr="003B4B29">
              <w:t>This unit applies to those working in the gathering and analysis of digital data.</w:t>
            </w:r>
          </w:p>
          <w:p w:rsidR="00000000" w:rsidRPr="003B4B29" w:rsidP="003B4B29">
            <w:pPr>
              <w:pStyle w:val="BodyText"/>
            </w:pPr>
            <w:r w:rsidRPr="003B4B29">
              <w:t>The skills and knowledge de</w:t>
            </w:r>
            <w:r w:rsidRPr="003B4B29">
              <w:t>scribed in this unit must be applied within the legislative, regulatory and policy environment in which they are carried out. Organisational policies and procedures must be consulted and adhered to, particularly those relating to work health and safety (WH</w:t>
            </w:r>
            <w:r w:rsidRPr="003B4B29">
              <w:t>S) and the conducting of digital data search and analysis.</w:t>
            </w:r>
          </w:p>
          <w:p w:rsidR="00000000" w:rsidRPr="003B4B29" w:rsidP="003B4B29">
            <w:pPr>
              <w:pStyle w:val="BodyText"/>
            </w:pPr>
            <w:r w:rsidRPr="003B4B29">
              <w:t>Those undertaking this unit would work independently, with minimal supervision, while performing complex tasks, including making complex judgements. They would use discretion and judgement and take</w:t>
            </w:r>
            <w:r w:rsidRPr="003B4B29">
              <w:t xml:space="preserve"> responsibility for the quality of their outputs.</w:t>
            </w:r>
          </w:p>
          <w:p w:rsidR="00000000" w:rsidRPr="003B4B29" w:rsidP="003B4B29">
            <w:pPr>
              <w:pStyle w:val="BodyText"/>
            </w:pPr>
            <w:r w:rsidRPr="003B4B29">
              <w:t>No licensing, legislative or certification requirements apply to unit at the time of publication.</w:t>
            </w:r>
          </w:p>
        </w:tc>
      </w:tr>
    </w:tbl>
    <w:p w:rsidR="00000000" w:rsidRPr="003B4B29" w:rsidP="003B4B29">
      <w:pPr>
        <w:pStyle w:val="NoPaddingFontSize1"/>
      </w:pPr>
    </w:p>
    <w:p w:rsidR="00000000" w:rsidRPr="003B4B29" w:rsidP="003B4B29">
      <w:pPr>
        <w:pStyle w:val="AllowPageBreak"/>
      </w:pPr>
    </w:p>
    <w:p w:rsidR="00000000" w:rsidRPr="003B4B29" w:rsidP="003B4B29">
      <w:pPr>
        <w:pStyle w:val="Heading1"/>
      </w:pPr>
      <w:bookmarkStart w:id="3" w:name="O_1238641"/>
      <w:bookmarkEnd w:id="3"/>
      <w:r w:rsidRPr="003B4B29">
        <w:t>Pre-requisite Unit</w:t>
      </w:r>
    </w:p>
    <w:tbl>
      <w:tblPr>
        <w:tblW w:w="9497" w:type="dxa"/>
        <w:tblLayout w:type="fixed"/>
        <w:tblCellMar>
          <w:left w:w="62" w:type="dxa"/>
          <w:right w:w="62" w:type="dxa"/>
        </w:tblCellMar>
        <w:tblLook w:val="0000"/>
      </w:tblPr>
      <w:tblGrid>
        <w:gridCol w:w="9497"/>
      </w:tblGrid>
      <w:tr w:rsidTr="003B4B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4B29" w:rsidP="003B4B29">
            <w:pPr>
              <w:pStyle w:val="BodyText"/>
            </w:pPr>
            <w:r w:rsidRPr="003B4B29">
              <w:t>Not applicable.</w:t>
            </w:r>
          </w:p>
        </w:tc>
      </w:tr>
    </w:tbl>
    <w:p w:rsidR="00000000" w:rsidRPr="003B4B29" w:rsidP="003B4B29">
      <w:pPr>
        <w:pStyle w:val="NoPaddingFontSize1"/>
      </w:pPr>
    </w:p>
    <w:p w:rsidR="00000000" w:rsidRPr="003B4B29" w:rsidP="003B4B29">
      <w:pPr>
        <w:pStyle w:val="AllowPageBreak"/>
      </w:pPr>
    </w:p>
    <w:p w:rsidR="00000000" w:rsidRPr="003B4B29" w:rsidP="003B4B29">
      <w:pPr>
        <w:pStyle w:val="Heading1"/>
      </w:pPr>
      <w:bookmarkStart w:id="4" w:name="O_1238642"/>
      <w:bookmarkEnd w:id="4"/>
      <w:r w:rsidRPr="003B4B29">
        <w:t>Competency Field</w:t>
      </w:r>
    </w:p>
    <w:tbl>
      <w:tblPr>
        <w:tblW w:w="9497" w:type="dxa"/>
        <w:tblLayout w:type="fixed"/>
        <w:tblCellMar>
          <w:left w:w="62" w:type="dxa"/>
          <w:right w:w="62" w:type="dxa"/>
        </w:tblCellMar>
        <w:tblLook w:val="0000"/>
      </w:tblPr>
      <w:tblGrid>
        <w:gridCol w:w="9497"/>
      </w:tblGrid>
      <w:tr w:rsidTr="003B4B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4B29" w:rsidP="003B4B29">
            <w:pPr>
              <w:pStyle w:val="BodyText"/>
            </w:pPr>
            <w:r w:rsidRPr="003B4B29">
              <w:t>Digital Forens</w:t>
            </w:r>
            <w:r w:rsidRPr="003B4B29">
              <w:t>ics.</w:t>
            </w:r>
          </w:p>
        </w:tc>
      </w:tr>
    </w:tbl>
    <w:p w:rsidR="00000000" w:rsidRPr="003B4B29" w:rsidP="003B4B29">
      <w:pPr>
        <w:pStyle w:val="NoPaddingFontSize1"/>
      </w:pPr>
    </w:p>
    <w:p w:rsidR="00000000" w:rsidRPr="003B4B29" w:rsidP="003B4B29">
      <w:pPr>
        <w:pStyle w:val="AllowPageBreak"/>
      </w:pPr>
    </w:p>
    <w:p w:rsidR="00000000" w:rsidRPr="003B4B29" w:rsidP="003B4B29">
      <w:pPr>
        <w:pStyle w:val="Heading1"/>
      </w:pPr>
      <w:bookmarkStart w:id="5" w:name="O_1238643"/>
      <w:bookmarkEnd w:id="5"/>
      <w:r w:rsidRPr="003B4B29">
        <w:t>Unit Sector</w:t>
      </w:r>
    </w:p>
    <w:tbl>
      <w:tblPr>
        <w:tblW w:w="9497" w:type="dxa"/>
        <w:tblLayout w:type="fixed"/>
        <w:tblCellMar>
          <w:left w:w="62" w:type="dxa"/>
          <w:right w:w="62" w:type="dxa"/>
        </w:tblCellMar>
        <w:tblLook w:val="0000"/>
      </w:tblPr>
      <w:tblGrid>
        <w:gridCol w:w="9497"/>
      </w:tblGrid>
      <w:tr w:rsidTr="003B4B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4B29" w:rsidP="003B4B29">
            <w:pPr>
              <w:pStyle w:val="BodyText"/>
            </w:pPr>
            <w:r w:rsidRPr="003B4B29">
              <w:t>Not applicable.</w:t>
            </w:r>
          </w:p>
        </w:tc>
      </w:tr>
    </w:tbl>
    <w:p w:rsidR="00000000" w:rsidRPr="003B4B29" w:rsidP="003B4B29">
      <w:pPr>
        <w:pStyle w:val="NoPaddingFontSize1"/>
      </w:pPr>
    </w:p>
    <w:p w:rsidR="00000000" w:rsidRPr="003B4B29" w:rsidP="003B4B29">
      <w:pPr>
        <w:pStyle w:val="AllowPageBreak"/>
      </w:pPr>
    </w:p>
    <w:p w:rsidR="00000000" w:rsidRPr="003B4B29" w:rsidP="003B4B29">
      <w:pPr>
        <w:pStyle w:val="Heading1"/>
      </w:pPr>
      <w:bookmarkStart w:id="6" w:name="O_1238644"/>
      <w:bookmarkEnd w:id="6"/>
      <w:r w:rsidRPr="003B4B29">
        <w:t>Elements and Performance Criteria</w:t>
      </w:r>
    </w:p>
    <w:tbl>
      <w:tblPr>
        <w:tblW w:w="9497" w:type="dxa"/>
        <w:tblLayout w:type="fixed"/>
        <w:tblCellMar>
          <w:left w:w="62" w:type="dxa"/>
          <w:right w:w="62" w:type="dxa"/>
        </w:tblCellMar>
        <w:tblLook w:val="0000"/>
      </w:tblPr>
      <w:tblGrid>
        <w:gridCol w:w="403"/>
        <w:gridCol w:w="2859"/>
        <w:gridCol w:w="697"/>
        <w:gridCol w:w="5538"/>
      </w:tblGrid>
      <w:tr w:rsidTr="003B4B29">
        <w:tblPrEx>
          <w:tblW w:w="9497" w:type="dxa"/>
          <w:tblLayout w:type="fixed"/>
          <w:tblCellMar>
            <w:left w:w="62" w:type="dxa"/>
            <w:right w:w="62" w:type="dxa"/>
          </w:tblCellMar>
          <w:tblLook w:val="0000"/>
        </w:tblPrEx>
        <w:tc>
          <w:tcPr>
            <w:tcW w:w="3262" w:type="dxa"/>
            <w:gridSpan w:val="2"/>
            <w:tcBorders>
              <w:top w:val="nil"/>
              <w:left w:val="nil"/>
              <w:bottom w:val="nil"/>
              <w:right w:val="nil"/>
            </w:tcBorders>
            <w:tcMar>
              <w:top w:w="0" w:type="dxa"/>
              <w:left w:w="62" w:type="dxa"/>
              <w:bottom w:w="0" w:type="dxa"/>
              <w:right w:w="62" w:type="dxa"/>
            </w:tcMar>
          </w:tcPr>
          <w:p w:rsidR="00000000" w:rsidRPr="003B4B29" w:rsidP="003B4B29">
            <w:pPr>
              <w:pStyle w:val="BodyText"/>
            </w:pPr>
            <w:r w:rsidRPr="003B4B29">
              <w:rPr>
                <w:rStyle w:val="SpecialBold"/>
              </w:rPr>
              <w:t>ELEMENTS</w:t>
            </w:r>
          </w:p>
        </w:tc>
        <w:tc>
          <w:tcPr>
            <w:tcW w:w="6235" w:type="dxa"/>
            <w:gridSpan w:val="2"/>
            <w:tcBorders>
              <w:top w:val="nil"/>
              <w:left w:val="nil"/>
              <w:bottom w:val="nil"/>
              <w:right w:val="nil"/>
            </w:tcBorders>
            <w:tcMar>
              <w:top w:w="0" w:type="dxa"/>
              <w:left w:w="62" w:type="dxa"/>
              <w:bottom w:w="0" w:type="dxa"/>
              <w:right w:w="62" w:type="dxa"/>
            </w:tcMar>
          </w:tcPr>
          <w:p w:rsidR="00000000" w:rsidP="003B4B29">
            <w:pPr>
              <w:pStyle w:val="BodyText"/>
              <w:rPr>
                <w:lang w:val="en-NZ"/>
              </w:rPr>
            </w:pPr>
            <w:r w:rsidRPr="003B4B29">
              <w:rPr>
                <w:rStyle w:val="SpecialBold"/>
              </w:rPr>
              <w:t>PERFORMANCE CRITERIA</w:t>
            </w:r>
          </w:p>
        </w:tc>
      </w:tr>
      <w:tr w:rsidTr="003B4B29">
        <w:tblPrEx>
          <w:tblW w:w="9497" w:type="dxa"/>
          <w:tblLayout w:type="fixed"/>
          <w:tblCellMar>
            <w:left w:w="62" w:type="dxa"/>
            <w:right w:w="62" w:type="dxa"/>
          </w:tblCellMar>
          <w:tblLook w:val="0000"/>
        </w:tblPrEx>
        <w:tc>
          <w:tcPr>
            <w:tcW w:w="3262" w:type="dxa"/>
            <w:gridSpan w:val="2"/>
            <w:tcBorders>
              <w:top w:val="nil"/>
              <w:left w:val="nil"/>
              <w:bottom w:val="nil"/>
              <w:right w:val="nil"/>
            </w:tcBorders>
            <w:tcMar>
              <w:top w:w="0" w:type="dxa"/>
              <w:left w:w="62" w:type="dxa"/>
              <w:bottom w:w="0" w:type="dxa"/>
              <w:right w:w="62" w:type="dxa"/>
            </w:tcMar>
          </w:tcPr>
          <w:p w:rsidR="00000000" w:rsidP="003B4B29">
            <w:pPr>
              <w:pStyle w:val="BodyText"/>
              <w:rPr>
                <w:lang w:val="en-NZ"/>
              </w:rPr>
            </w:pPr>
            <w:r w:rsidRPr="003B4B29">
              <w:t>Elements describe the essential outcomes.</w:t>
            </w:r>
          </w:p>
        </w:tc>
        <w:tc>
          <w:tcPr>
            <w:tcW w:w="6235" w:type="dxa"/>
            <w:gridSpan w:val="2"/>
            <w:tcBorders>
              <w:top w:val="nil"/>
              <w:left w:val="nil"/>
              <w:bottom w:val="nil"/>
              <w:right w:val="nil"/>
            </w:tcBorders>
            <w:tcMar>
              <w:top w:w="0" w:type="dxa"/>
              <w:left w:w="62" w:type="dxa"/>
              <w:bottom w:w="0" w:type="dxa"/>
              <w:right w:w="62" w:type="dxa"/>
            </w:tcMar>
          </w:tcPr>
          <w:p w:rsidR="00000000" w:rsidP="003B4B29">
            <w:pPr>
              <w:pStyle w:val="BodyText"/>
              <w:rPr>
                <w:lang w:val="en-NZ"/>
              </w:rPr>
            </w:pPr>
            <w:r w:rsidRPr="003B4B29">
              <w:t>Performance criteria describe the performance needed to demonstrate achievement of the element.</w:t>
            </w:r>
          </w:p>
        </w:tc>
      </w:tr>
      <w:tr w:rsidTr="003B4B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B4B29" w:rsidP="003B4B29">
            <w:pPr>
              <w:pStyle w:val="BodyText"/>
            </w:pPr>
            <w:r w:rsidRPr="003B4B29">
              <w:rPr>
                <w:rStyle w:val="SpecialBold"/>
              </w:rPr>
              <w:t>1</w:t>
            </w:r>
          </w:p>
        </w:tc>
        <w:tc>
          <w:tcPr>
            <w:tcW w:w="2859" w:type="dxa"/>
            <w:tcBorders>
              <w:top w:val="nil"/>
              <w:left w:val="nil"/>
              <w:bottom w:val="nil"/>
              <w:right w:val="nil"/>
            </w:tcBorders>
            <w:tcMar>
              <w:top w:w="0" w:type="dxa"/>
              <w:left w:w="62" w:type="dxa"/>
              <w:bottom w:w="0" w:type="dxa"/>
              <w:right w:w="62" w:type="dxa"/>
            </w:tcMar>
          </w:tcPr>
          <w:p w:rsidR="00000000" w:rsidRPr="003B4B29" w:rsidP="003B4B29">
            <w:pPr>
              <w:pStyle w:val="BodyText"/>
            </w:pPr>
            <w:r w:rsidRPr="003B4B29">
              <w:rPr>
                <w:rStyle w:val="SpecialBold"/>
              </w:rPr>
              <w:t>Reduce and describe data</w:t>
            </w:r>
          </w:p>
        </w:tc>
        <w:tc>
          <w:tcPr>
            <w:tcW w:w="697" w:type="dxa"/>
            <w:tcBorders>
              <w:top w:val="nil"/>
              <w:left w:val="nil"/>
              <w:bottom w:val="nil"/>
              <w:right w:val="nil"/>
            </w:tcBorders>
            <w:tcMar>
              <w:top w:w="0" w:type="dxa"/>
              <w:left w:w="62" w:type="dxa"/>
              <w:bottom w:w="0" w:type="dxa"/>
              <w:right w:w="62" w:type="dxa"/>
            </w:tcMar>
          </w:tcPr>
          <w:p w:rsidR="00000000" w:rsidP="003B4B29">
            <w:pPr>
              <w:pStyle w:val="BodyText"/>
              <w:rPr>
                <w:lang w:val="en-NZ"/>
              </w:rPr>
            </w:pPr>
            <w:r w:rsidRPr="003B4B29">
              <w:rPr>
                <w:rStyle w:val="SpecialBold"/>
              </w:rPr>
              <w:t>1.1</w:t>
            </w:r>
          </w:p>
        </w:tc>
        <w:tc>
          <w:tcPr>
            <w:tcW w:w="5538" w:type="dxa"/>
            <w:tcBorders>
              <w:top w:val="nil"/>
              <w:left w:val="nil"/>
              <w:bottom w:val="nil"/>
              <w:right w:val="nil"/>
            </w:tcBorders>
            <w:tcMar>
              <w:top w:w="0" w:type="dxa"/>
              <w:left w:w="62" w:type="dxa"/>
              <w:bottom w:w="0" w:type="dxa"/>
              <w:right w:w="62" w:type="dxa"/>
            </w:tcMar>
          </w:tcPr>
          <w:p w:rsidR="00000000" w:rsidP="003B4B29">
            <w:pPr>
              <w:pStyle w:val="BodyText"/>
              <w:rPr>
                <w:lang w:val="en-NZ"/>
              </w:rPr>
            </w:pPr>
            <w:r w:rsidRPr="003B4B29">
              <w:t>Identify digital data to be analysed</w:t>
            </w:r>
          </w:p>
        </w:tc>
      </w:tr>
      <w:tr w:rsidTr="003B4B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3B4B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4B29">
            <w:pPr>
              <w:pStyle w:val="BodyText"/>
              <w:rPr>
                <w:lang w:val="en-NZ"/>
              </w:rPr>
            </w:pPr>
            <w:r w:rsidRPr="003B4B29">
              <w:rPr>
                <w:rStyle w:val="SpecialBold"/>
              </w:rPr>
              <w:t>1.2</w:t>
            </w:r>
          </w:p>
        </w:tc>
        <w:tc>
          <w:tcPr>
            <w:tcW w:w="5538" w:type="dxa"/>
            <w:tcBorders>
              <w:top w:val="nil"/>
              <w:left w:val="nil"/>
              <w:bottom w:val="nil"/>
              <w:right w:val="nil"/>
            </w:tcBorders>
            <w:tcMar>
              <w:top w:w="0" w:type="dxa"/>
              <w:left w:w="62" w:type="dxa"/>
              <w:bottom w:w="0" w:type="dxa"/>
              <w:right w:w="62" w:type="dxa"/>
            </w:tcMar>
          </w:tcPr>
          <w:p w:rsidR="00000000" w:rsidP="003B4B29">
            <w:pPr>
              <w:pStyle w:val="BodyText"/>
              <w:rPr>
                <w:lang w:val="en-NZ"/>
              </w:rPr>
            </w:pPr>
            <w:r w:rsidRPr="003B4B29">
              <w:t xml:space="preserve">Reduce the data, identify possible artefacts and describe these in a suitable form </w:t>
            </w:r>
            <w:r w:rsidRPr="003B4B29">
              <w:t>to support the development of interpretations</w:t>
            </w:r>
          </w:p>
        </w:tc>
      </w:tr>
      <w:tr w:rsidTr="003B4B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3B4B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4B29">
            <w:pPr>
              <w:pStyle w:val="BodyText"/>
              <w:rPr>
                <w:lang w:val="en-NZ"/>
              </w:rPr>
            </w:pPr>
            <w:r w:rsidRPr="003B4B29">
              <w:rPr>
                <w:rStyle w:val="SpecialBold"/>
              </w:rPr>
              <w:t>1.3</w:t>
            </w:r>
          </w:p>
        </w:tc>
        <w:tc>
          <w:tcPr>
            <w:tcW w:w="5538" w:type="dxa"/>
            <w:tcBorders>
              <w:top w:val="nil"/>
              <w:left w:val="nil"/>
              <w:bottom w:val="nil"/>
              <w:right w:val="nil"/>
            </w:tcBorders>
            <w:tcMar>
              <w:top w:w="0" w:type="dxa"/>
              <w:left w:w="62" w:type="dxa"/>
              <w:bottom w:w="0" w:type="dxa"/>
              <w:right w:w="62" w:type="dxa"/>
            </w:tcMar>
          </w:tcPr>
          <w:p w:rsidR="00000000" w:rsidP="003B4B29">
            <w:pPr>
              <w:pStyle w:val="BodyText"/>
              <w:rPr>
                <w:lang w:val="en-NZ"/>
              </w:rPr>
            </w:pPr>
            <w:r w:rsidRPr="003B4B29">
              <w:t>Decrypt data if appropriate</w:t>
            </w:r>
          </w:p>
        </w:tc>
      </w:tr>
      <w:tr w:rsidTr="003B4B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3B4B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4B29">
            <w:pPr>
              <w:pStyle w:val="BodyText"/>
              <w:rPr>
                <w:lang w:val="en-NZ"/>
              </w:rPr>
            </w:pPr>
            <w:r w:rsidRPr="003B4B29">
              <w:rPr>
                <w:rStyle w:val="SpecialBold"/>
              </w:rPr>
              <w:t>1.4</w:t>
            </w:r>
          </w:p>
        </w:tc>
        <w:tc>
          <w:tcPr>
            <w:tcW w:w="5538" w:type="dxa"/>
            <w:tcBorders>
              <w:top w:val="nil"/>
              <w:left w:val="nil"/>
              <w:bottom w:val="nil"/>
              <w:right w:val="nil"/>
            </w:tcBorders>
            <w:tcMar>
              <w:top w:w="0" w:type="dxa"/>
              <w:left w:w="62" w:type="dxa"/>
              <w:bottom w:w="0" w:type="dxa"/>
              <w:right w:w="62" w:type="dxa"/>
            </w:tcMar>
          </w:tcPr>
          <w:p w:rsidR="00000000" w:rsidP="003B4B29">
            <w:pPr>
              <w:pStyle w:val="BodyText"/>
              <w:rPr>
                <w:lang w:val="en-NZ"/>
              </w:rPr>
            </w:pPr>
            <w:r w:rsidRPr="003B4B29">
              <w:t>Review the reduction and description processes to determine their suitability for acquisition and analysis, and make improvements where necessary</w:t>
            </w:r>
          </w:p>
        </w:tc>
      </w:tr>
      <w:tr w:rsidTr="003B4B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3B4B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4B29">
            <w:pPr>
              <w:pStyle w:val="BodyText"/>
              <w:rPr>
                <w:lang w:val="en-NZ"/>
              </w:rPr>
            </w:pPr>
            <w:r w:rsidRPr="003B4B29">
              <w:rPr>
                <w:rStyle w:val="SpecialBold"/>
              </w:rPr>
              <w:t>1.5</w:t>
            </w:r>
          </w:p>
        </w:tc>
        <w:tc>
          <w:tcPr>
            <w:tcW w:w="5538" w:type="dxa"/>
            <w:tcBorders>
              <w:top w:val="nil"/>
              <w:left w:val="nil"/>
              <w:bottom w:val="nil"/>
              <w:right w:val="nil"/>
            </w:tcBorders>
            <w:tcMar>
              <w:top w:w="0" w:type="dxa"/>
              <w:left w:w="62" w:type="dxa"/>
              <w:bottom w:w="0" w:type="dxa"/>
              <w:right w:w="62" w:type="dxa"/>
            </w:tcMar>
          </w:tcPr>
          <w:p w:rsidR="00000000" w:rsidP="003B4B29">
            <w:pPr>
              <w:pStyle w:val="BodyText"/>
              <w:rPr>
                <w:lang w:val="en-NZ"/>
              </w:rPr>
            </w:pPr>
            <w:r w:rsidRPr="003B4B29">
              <w:t>Save data not used in the reduction and description processes for future reference</w:t>
            </w:r>
          </w:p>
        </w:tc>
      </w:tr>
      <w:tr w:rsidTr="003B4B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B4B29" w:rsidP="003B4B29">
            <w:pPr>
              <w:pStyle w:val="BodyText"/>
            </w:pPr>
            <w:r w:rsidRPr="003B4B29">
              <w:rPr>
                <w:rStyle w:val="SpecialBold"/>
              </w:rPr>
              <w:t>2</w:t>
            </w:r>
          </w:p>
        </w:tc>
        <w:tc>
          <w:tcPr>
            <w:tcW w:w="2859" w:type="dxa"/>
            <w:tcBorders>
              <w:top w:val="nil"/>
              <w:left w:val="nil"/>
              <w:bottom w:val="nil"/>
              <w:right w:val="nil"/>
            </w:tcBorders>
            <w:tcMar>
              <w:top w:w="0" w:type="dxa"/>
              <w:left w:w="62" w:type="dxa"/>
              <w:bottom w:w="0" w:type="dxa"/>
              <w:right w:w="62" w:type="dxa"/>
            </w:tcMar>
          </w:tcPr>
          <w:p w:rsidR="00000000" w:rsidRPr="003B4B29" w:rsidP="003B4B29">
            <w:pPr>
              <w:pStyle w:val="BodyText"/>
            </w:pPr>
            <w:r w:rsidRPr="003B4B29">
              <w:rPr>
                <w:rStyle w:val="SpecialBold"/>
              </w:rPr>
              <w:t>Analyse and interpret data</w:t>
            </w:r>
          </w:p>
        </w:tc>
        <w:tc>
          <w:tcPr>
            <w:tcW w:w="697" w:type="dxa"/>
            <w:tcBorders>
              <w:top w:val="nil"/>
              <w:left w:val="nil"/>
              <w:bottom w:val="nil"/>
              <w:right w:val="nil"/>
            </w:tcBorders>
            <w:tcMar>
              <w:top w:w="0" w:type="dxa"/>
              <w:left w:w="62" w:type="dxa"/>
              <w:bottom w:w="0" w:type="dxa"/>
              <w:right w:w="62" w:type="dxa"/>
            </w:tcMar>
          </w:tcPr>
          <w:p w:rsidR="00000000" w:rsidP="003B4B29">
            <w:pPr>
              <w:pStyle w:val="BodyText"/>
              <w:rPr>
                <w:lang w:val="en-NZ"/>
              </w:rPr>
            </w:pPr>
            <w:r w:rsidRPr="003B4B29">
              <w:rPr>
                <w:rStyle w:val="SpecialBold"/>
              </w:rPr>
              <w:t>2.1</w:t>
            </w:r>
          </w:p>
        </w:tc>
        <w:tc>
          <w:tcPr>
            <w:tcW w:w="5538" w:type="dxa"/>
            <w:tcBorders>
              <w:top w:val="nil"/>
              <w:left w:val="nil"/>
              <w:bottom w:val="nil"/>
              <w:right w:val="nil"/>
            </w:tcBorders>
            <w:tcMar>
              <w:top w:w="0" w:type="dxa"/>
              <w:left w:w="62" w:type="dxa"/>
              <w:bottom w:w="0" w:type="dxa"/>
              <w:right w:w="62" w:type="dxa"/>
            </w:tcMar>
          </w:tcPr>
          <w:p w:rsidR="00000000" w:rsidP="003B4B29">
            <w:pPr>
              <w:pStyle w:val="BodyText"/>
              <w:rPr>
                <w:lang w:val="en-NZ"/>
              </w:rPr>
            </w:pPr>
            <w:r w:rsidRPr="003B4B29">
              <w:t>Interpret the data using deduction, induction and problem-solving techniques</w:t>
            </w:r>
          </w:p>
        </w:tc>
      </w:tr>
      <w:tr w:rsidTr="003B4B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3B4B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4B29">
            <w:pPr>
              <w:pStyle w:val="BodyText"/>
              <w:rPr>
                <w:lang w:val="en-NZ"/>
              </w:rPr>
            </w:pPr>
            <w:r w:rsidRPr="003B4B29">
              <w:rPr>
                <w:rStyle w:val="SpecialBold"/>
              </w:rPr>
              <w:t>2.2</w:t>
            </w:r>
          </w:p>
        </w:tc>
        <w:tc>
          <w:tcPr>
            <w:tcW w:w="5538" w:type="dxa"/>
            <w:tcBorders>
              <w:top w:val="nil"/>
              <w:left w:val="nil"/>
              <w:bottom w:val="nil"/>
              <w:right w:val="nil"/>
            </w:tcBorders>
            <w:tcMar>
              <w:top w:w="0" w:type="dxa"/>
              <w:left w:w="62" w:type="dxa"/>
              <w:bottom w:w="0" w:type="dxa"/>
              <w:right w:w="62" w:type="dxa"/>
            </w:tcMar>
          </w:tcPr>
          <w:p w:rsidR="00000000" w:rsidP="003B4B29">
            <w:pPr>
              <w:pStyle w:val="BodyText"/>
              <w:rPr>
                <w:lang w:val="en-NZ"/>
              </w:rPr>
            </w:pPr>
            <w:r w:rsidRPr="003B4B29">
              <w:t xml:space="preserve">Analyse digital storage devices for artefacts that may </w:t>
            </w:r>
            <w:r w:rsidRPr="003B4B29">
              <w:t>become evidence</w:t>
            </w:r>
          </w:p>
        </w:tc>
      </w:tr>
      <w:tr w:rsidTr="003B4B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3B4B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4B29">
            <w:pPr>
              <w:pStyle w:val="BodyText"/>
              <w:rPr>
                <w:lang w:val="en-NZ"/>
              </w:rPr>
            </w:pPr>
            <w:r w:rsidRPr="003B4B29">
              <w:rPr>
                <w:rStyle w:val="SpecialBold"/>
              </w:rPr>
              <w:t>2.3</w:t>
            </w:r>
          </w:p>
        </w:tc>
        <w:tc>
          <w:tcPr>
            <w:tcW w:w="5538" w:type="dxa"/>
            <w:tcBorders>
              <w:top w:val="nil"/>
              <w:left w:val="nil"/>
              <w:bottom w:val="nil"/>
              <w:right w:val="nil"/>
            </w:tcBorders>
            <w:tcMar>
              <w:top w:w="0" w:type="dxa"/>
              <w:left w:w="62" w:type="dxa"/>
              <w:bottom w:w="0" w:type="dxa"/>
              <w:right w:w="62" w:type="dxa"/>
            </w:tcMar>
          </w:tcPr>
          <w:p w:rsidR="00000000" w:rsidP="003B4B29">
            <w:pPr>
              <w:pStyle w:val="BodyText"/>
              <w:rPr>
                <w:lang w:val="en-NZ"/>
              </w:rPr>
            </w:pPr>
            <w:r w:rsidRPr="003B4B29">
              <w:t>Apply sound reasoning to ensure consistency of interpretations based on the data</w:t>
            </w:r>
          </w:p>
        </w:tc>
      </w:tr>
      <w:tr w:rsidTr="003B4B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3B4B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4B29">
            <w:pPr>
              <w:pStyle w:val="BodyText"/>
              <w:rPr>
                <w:lang w:val="en-NZ"/>
              </w:rPr>
            </w:pPr>
            <w:r w:rsidRPr="003B4B29">
              <w:rPr>
                <w:rStyle w:val="SpecialBold"/>
              </w:rPr>
              <w:t>2.4</w:t>
            </w:r>
          </w:p>
        </w:tc>
        <w:tc>
          <w:tcPr>
            <w:tcW w:w="5538" w:type="dxa"/>
            <w:tcBorders>
              <w:top w:val="nil"/>
              <w:left w:val="nil"/>
              <w:bottom w:val="nil"/>
              <w:right w:val="nil"/>
            </w:tcBorders>
            <w:tcMar>
              <w:top w:w="0" w:type="dxa"/>
              <w:left w:w="62" w:type="dxa"/>
              <w:bottom w:w="0" w:type="dxa"/>
              <w:right w:w="62" w:type="dxa"/>
            </w:tcMar>
          </w:tcPr>
          <w:p w:rsidR="00000000" w:rsidP="003B4B29">
            <w:pPr>
              <w:pStyle w:val="BodyText"/>
              <w:rPr>
                <w:lang w:val="en-NZ"/>
              </w:rPr>
            </w:pPr>
            <w:r w:rsidRPr="003B4B29">
              <w:t>Base interpretations on the factual quantitative and qualitative data</w:t>
            </w:r>
          </w:p>
        </w:tc>
      </w:tr>
      <w:tr w:rsidTr="003B4B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3B4B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4B29">
            <w:pPr>
              <w:pStyle w:val="BodyText"/>
              <w:rPr>
                <w:lang w:val="en-NZ"/>
              </w:rPr>
            </w:pPr>
            <w:r w:rsidRPr="003B4B29">
              <w:rPr>
                <w:rStyle w:val="SpecialBold"/>
              </w:rPr>
              <w:t>2.5</w:t>
            </w:r>
          </w:p>
        </w:tc>
        <w:tc>
          <w:tcPr>
            <w:tcW w:w="5538" w:type="dxa"/>
            <w:tcBorders>
              <w:top w:val="nil"/>
              <w:left w:val="nil"/>
              <w:bottom w:val="nil"/>
              <w:right w:val="nil"/>
            </w:tcBorders>
            <w:tcMar>
              <w:top w:w="0" w:type="dxa"/>
              <w:left w:w="62" w:type="dxa"/>
              <w:bottom w:w="0" w:type="dxa"/>
              <w:right w:w="62" w:type="dxa"/>
            </w:tcMar>
          </w:tcPr>
          <w:p w:rsidR="00000000" w:rsidP="003B4B29">
            <w:pPr>
              <w:pStyle w:val="BodyText"/>
              <w:rPr>
                <w:lang w:val="en-NZ"/>
              </w:rPr>
            </w:pPr>
            <w:r w:rsidRPr="003B4B29">
              <w:t>Develop a reconstruction of events using analysis techniques</w:t>
            </w:r>
          </w:p>
        </w:tc>
      </w:tr>
      <w:tr w:rsidTr="003B4B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B4B29" w:rsidP="003B4B29">
            <w:pPr>
              <w:pStyle w:val="BodyText"/>
            </w:pPr>
            <w:r w:rsidRPr="003B4B29">
              <w:rPr>
                <w:rStyle w:val="SpecialBold"/>
              </w:rPr>
              <w:t>3</w:t>
            </w:r>
          </w:p>
        </w:tc>
        <w:tc>
          <w:tcPr>
            <w:tcW w:w="2859" w:type="dxa"/>
            <w:tcBorders>
              <w:top w:val="nil"/>
              <w:left w:val="nil"/>
              <w:bottom w:val="nil"/>
              <w:right w:val="nil"/>
            </w:tcBorders>
            <w:tcMar>
              <w:top w:w="0" w:type="dxa"/>
              <w:left w:w="62" w:type="dxa"/>
              <w:bottom w:w="0" w:type="dxa"/>
              <w:right w:w="62" w:type="dxa"/>
            </w:tcMar>
          </w:tcPr>
          <w:p w:rsidR="00000000" w:rsidRPr="003B4B29" w:rsidP="003B4B29">
            <w:pPr>
              <w:pStyle w:val="BodyText"/>
            </w:pPr>
            <w:r w:rsidRPr="003B4B29">
              <w:rPr>
                <w:rStyle w:val="SpecialBold"/>
              </w:rPr>
              <w:t>Develop conclusions and recommendations</w:t>
            </w:r>
          </w:p>
        </w:tc>
        <w:tc>
          <w:tcPr>
            <w:tcW w:w="697" w:type="dxa"/>
            <w:tcBorders>
              <w:top w:val="nil"/>
              <w:left w:val="nil"/>
              <w:bottom w:val="nil"/>
              <w:right w:val="nil"/>
            </w:tcBorders>
            <w:tcMar>
              <w:top w:w="0" w:type="dxa"/>
              <w:left w:w="62" w:type="dxa"/>
              <w:bottom w:w="0" w:type="dxa"/>
              <w:right w:w="62" w:type="dxa"/>
            </w:tcMar>
          </w:tcPr>
          <w:p w:rsidR="00000000" w:rsidP="003B4B29">
            <w:pPr>
              <w:pStyle w:val="BodyText"/>
              <w:rPr>
                <w:lang w:val="en-NZ"/>
              </w:rPr>
            </w:pPr>
            <w:r w:rsidRPr="003B4B29">
              <w:rPr>
                <w:rStyle w:val="SpecialBold"/>
              </w:rPr>
              <w:t>3.1</w:t>
            </w:r>
          </w:p>
        </w:tc>
        <w:tc>
          <w:tcPr>
            <w:tcW w:w="5538" w:type="dxa"/>
            <w:tcBorders>
              <w:top w:val="nil"/>
              <w:left w:val="nil"/>
              <w:bottom w:val="nil"/>
              <w:right w:val="nil"/>
            </w:tcBorders>
            <w:tcMar>
              <w:top w:w="0" w:type="dxa"/>
              <w:left w:w="62" w:type="dxa"/>
              <w:bottom w:w="0" w:type="dxa"/>
              <w:right w:w="62" w:type="dxa"/>
            </w:tcMar>
          </w:tcPr>
          <w:p w:rsidR="00000000" w:rsidP="003B4B29">
            <w:pPr>
              <w:pStyle w:val="BodyText"/>
              <w:rPr>
                <w:lang w:val="en-NZ"/>
              </w:rPr>
            </w:pPr>
            <w:r w:rsidRPr="003B4B29">
              <w:t>Test and review possible interpretations to ensure they are credible and consistent with relevant data</w:t>
            </w:r>
          </w:p>
        </w:tc>
      </w:tr>
      <w:tr w:rsidTr="003B4B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3B4B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4B29">
            <w:pPr>
              <w:pStyle w:val="BodyText"/>
              <w:rPr>
                <w:lang w:val="en-NZ"/>
              </w:rPr>
            </w:pPr>
            <w:r w:rsidRPr="003B4B29">
              <w:rPr>
                <w:rStyle w:val="SpecialBold"/>
              </w:rPr>
              <w:t>3.2</w:t>
            </w:r>
          </w:p>
        </w:tc>
        <w:tc>
          <w:tcPr>
            <w:tcW w:w="5538" w:type="dxa"/>
            <w:tcBorders>
              <w:top w:val="nil"/>
              <w:left w:val="nil"/>
              <w:bottom w:val="nil"/>
              <w:right w:val="nil"/>
            </w:tcBorders>
            <w:tcMar>
              <w:top w:w="0" w:type="dxa"/>
              <w:left w:w="62" w:type="dxa"/>
              <w:bottom w:w="0" w:type="dxa"/>
              <w:right w:w="62" w:type="dxa"/>
            </w:tcMar>
          </w:tcPr>
          <w:p w:rsidR="00000000" w:rsidP="003B4B29">
            <w:pPr>
              <w:pStyle w:val="BodyText"/>
              <w:rPr>
                <w:lang w:val="en-NZ"/>
              </w:rPr>
            </w:pPr>
            <w:r w:rsidRPr="003B4B29">
              <w:t>Refine and consolidate interpretations to strengthen inferences drawn</w:t>
            </w:r>
          </w:p>
        </w:tc>
      </w:tr>
      <w:tr w:rsidTr="003B4B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3B4B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4B29">
            <w:pPr>
              <w:pStyle w:val="BodyText"/>
              <w:rPr>
                <w:lang w:val="en-NZ"/>
              </w:rPr>
            </w:pPr>
            <w:r w:rsidRPr="003B4B29">
              <w:rPr>
                <w:rStyle w:val="SpecialBold"/>
              </w:rPr>
              <w:t>3.3</w:t>
            </w:r>
          </w:p>
        </w:tc>
        <w:tc>
          <w:tcPr>
            <w:tcW w:w="5538" w:type="dxa"/>
            <w:tcBorders>
              <w:top w:val="nil"/>
              <w:left w:val="nil"/>
              <w:bottom w:val="nil"/>
              <w:right w:val="nil"/>
            </w:tcBorders>
            <w:tcMar>
              <w:top w:w="0" w:type="dxa"/>
              <w:left w:w="62" w:type="dxa"/>
              <w:bottom w:w="0" w:type="dxa"/>
              <w:right w:w="62" w:type="dxa"/>
            </w:tcMar>
          </w:tcPr>
          <w:p w:rsidR="00000000" w:rsidP="003B4B29">
            <w:pPr>
              <w:pStyle w:val="BodyText"/>
              <w:rPr>
                <w:lang w:val="en-NZ"/>
              </w:rPr>
            </w:pPr>
            <w:r w:rsidRPr="003B4B29">
              <w:t>Clearly state assumptions in the arguments leading to inferences</w:t>
            </w:r>
          </w:p>
        </w:tc>
      </w:tr>
      <w:tr w:rsidTr="003B4B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3B4B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4B29">
            <w:pPr>
              <w:pStyle w:val="BodyText"/>
              <w:rPr>
                <w:lang w:val="en-NZ"/>
              </w:rPr>
            </w:pPr>
            <w:r w:rsidRPr="003B4B29">
              <w:rPr>
                <w:rStyle w:val="SpecialBold"/>
              </w:rPr>
              <w:t>3.4</w:t>
            </w:r>
          </w:p>
        </w:tc>
        <w:tc>
          <w:tcPr>
            <w:tcW w:w="5538" w:type="dxa"/>
            <w:tcBorders>
              <w:top w:val="nil"/>
              <w:left w:val="nil"/>
              <w:bottom w:val="nil"/>
              <w:right w:val="nil"/>
            </w:tcBorders>
            <w:tcMar>
              <w:top w:w="0" w:type="dxa"/>
              <w:left w:w="62" w:type="dxa"/>
              <w:bottom w:w="0" w:type="dxa"/>
              <w:right w:w="62" w:type="dxa"/>
            </w:tcMar>
          </w:tcPr>
          <w:p w:rsidR="00000000" w:rsidP="003B4B29">
            <w:pPr>
              <w:pStyle w:val="BodyText"/>
              <w:rPr>
                <w:lang w:val="en-NZ"/>
              </w:rPr>
            </w:pPr>
            <w:r w:rsidRPr="003B4B29">
              <w:t>Formulate sound inferences, probable predictions, interpretations and/or explanations from facts and the tested interpretations</w:t>
            </w:r>
          </w:p>
        </w:tc>
      </w:tr>
      <w:tr w:rsidTr="003B4B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3B4B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4B29">
            <w:pPr>
              <w:pStyle w:val="BodyText"/>
              <w:rPr>
                <w:lang w:val="en-NZ"/>
              </w:rPr>
            </w:pPr>
            <w:r w:rsidRPr="003B4B29">
              <w:rPr>
                <w:rStyle w:val="SpecialBold"/>
              </w:rPr>
              <w:t>3.5</w:t>
            </w:r>
          </w:p>
        </w:tc>
        <w:tc>
          <w:tcPr>
            <w:tcW w:w="5538" w:type="dxa"/>
            <w:tcBorders>
              <w:top w:val="nil"/>
              <w:left w:val="nil"/>
              <w:bottom w:val="nil"/>
              <w:right w:val="nil"/>
            </w:tcBorders>
            <w:tcMar>
              <w:top w:w="0" w:type="dxa"/>
              <w:left w:w="62" w:type="dxa"/>
              <w:bottom w:w="0" w:type="dxa"/>
              <w:right w:w="62" w:type="dxa"/>
            </w:tcMar>
          </w:tcPr>
          <w:p w:rsidR="00000000" w:rsidP="003B4B29">
            <w:pPr>
              <w:pStyle w:val="BodyText"/>
              <w:rPr>
                <w:lang w:val="en-NZ"/>
              </w:rPr>
            </w:pPr>
            <w:r w:rsidRPr="003B4B29">
              <w:t xml:space="preserve">Ensure transparency in the investigation process </w:t>
            </w:r>
            <w:r w:rsidRPr="003B4B29">
              <w:t>by formulating inferences through a clear chain of reasoning</w:t>
            </w:r>
          </w:p>
        </w:tc>
      </w:tr>
      <w:tr w:rsidTr="003B4B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3B4B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4B29">
            <w:pPr>
              <w:pStyle w:val="BodyText"/>
              <w:rPr>
                <w:lang w:val="en-NZ"/>
              </w:rPr>
            </w:pPr>
            <w:r w:rsidRPr="003B4B29">
              <w:rPr>
                <w:rStyle w:val="SpecialBold"/>
              </w:rPr>
              <w:t>3.6</w:t>
            </w:r>
          </w:p>
        </w:tc>
        <w:tc>
          <w:tcPr>
            <w:tcW w:w="5538" w:type="dxa"/>
            <w:tcBorders>
              <w:top w:val="nil"/>
              <w:left w:val="nil"/>
              <w:bottom w:val="nil"/>
              <w:right w:val="nil"/>
            </w:tcBorders>
            <w:tcMar>
              <w:top w:w="0" w:type="dxa"/>
              <w:left w:w="62" w:type="dxa"/>
              <w:bottom w:w="0" w:type="dxa"/>
              <w:right w:w="62" w:type="dxa"/>
            </w:tcMar>
          </w:tcPr>
          <w:p w:rsidR="00000000" w:rsidP="003B4B29">
            <w:pPr>
              <w:pStyle w:val="BodyText"/>
              <w:rPr>
                <w:lang w:val="en-NZ"/>
              </w:rPr>
            </w:pPr>
            <w:r w:rsidRPr="003B4B29">
              <w:t>Review inferences to identify and address any fallacies in reasoning</w:t>
            </w:r>
          </w:p>
        </w:tc>
      </w:tr>
      <w:tr w:rsidTr="003B4B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3B4B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4B29">
            <w:pPr>
              <w:pStyle w:val="BodyText"/>
              <w:rPr>
                <w:lang w:val="en-NZ"/>
              </w:rPr>
            </w:pPr>
            <w:r w:rsidRPr="003B4B29">
              <w:rPr>
                <w:rStyle w:val="SpecialBold"/>
              </w:rPr>
              <w:t>3.7</w:t>
            </w:r>
          </w:p>
        </w:tc>
        <w:tc>
          <w:tcPr>
            <w:tcW w:w="5538" w:type="dxa"/>
            <w:tcBorders>
              <w:top w:val="nil"/>
              <w:left w:val="nil"/>
              <w:bottom w:val="nil"/>
              <w:right w:val="nil"/>
            </w:tcBorders>
            <w:tcMar>
              <w:top w:w="0" w:type="dxa"/>
              <w:left w:w="62" w:type="dxa"/>
              <w:bottom w:w="0" w:type="dxa"/>
              <w:right w:w="62" w:type="dxa"/>
            </w:tcMar>
          </w:tcPr>
          <w:p w:rsidR="00000000" w:rsidP="003B4B29">
            <w:pPr>
              <w:pStyle w:val="BodyText"/>
              <w:rPr>
                <w:lang w:val="en-NZ"/>
              </w:rPr>
            </w:pPr>
            <w:r w:rsidRPr="003B4B29">
              <w:t>Assess the relationship between the data developed and the pro</w:t>
            </w:r>
            <w:r w:rsidRPr="003B4B29">
              <w:t>bable interpretations to ensure validity and compliance, and report in accordance with organisational requirements</w:t>
            </w:r>
          </w:p>
        </w:tc>
      </w:tr>
      <w:tr w:rsidTr="003B4B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3B4B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4B29">
            <w:pPr>
              <w:pStyle w:val="BodyText"/>
              <w:rPr>
                <w:lang w:val="en-NZ"/>
              </w:rPr>
            </w:pPr>
            <w:r w:rsidRPr="003B4B29">
              <w:rPr>
                <w:rStyle w:val="SpecialBold"/>
              </w:rPr>
              <w:t>3.8</w:t>
            </w:r>
          </w:p>
        </w:tc>
        <w:tc>
          <w:tcPr>
            <w:tcW w:w="5538" w:type="dxa"/>
            <w:tcBorders>
              <w:top w:val="nil"/>
              <w:left w:val="nil"/>
              <w:bottom w:val="nil"/>
              <w:right w:val="nil"/>
            </w:tcBorders>
            <w:tcMar>
              <w:top w:w="0" w:type="dxa"/>
              <w:left w:w="62" w:type="dxa"/>
              <w:bottom w:w="0" w:type="dxa"/>
              <w:right w:w="62" w:type="dxa"/>
            </w:tcMar>
          </w:tcPr>
          <w:p w:rsidR="00000000" w:rsidRPr="003B4B29" w:rsidP="003B4B29">
            <w:pPr>
              <w:pStyle w:val="BodyText"/>
            </w:pPr>
            <w:r w:rsidRPr="003B4B29">
              <w:t>Develop and report conclusions and recommendations, addressing evidential requirements</w:t>
            </w:r>
          </w:p>
        </w:tc>
      </w:tr>
    </w:tbl>
    <w:p w:rsidR="00000000" w:rsidRPr="003B4B29" w:rsidP="003B4B29">
      <w:pPr>
        <w:pStyle w:val="NoPaddingFontSize1"/>
      </w:pPr>
    </w:p>
    <w:p w:rsidR="00000000" w:rsidRPr="003B4B29" w:rsidP="003B4B29">
      <w:pPr>
        <w:pStyle w:val="AllowPageBreak"/>
      </w:pPr>
    </w:p>
    <w:p w:rsidR="00000000" w:rsidRPr="003B4B29" w:rsidP="003B4B29">
      <w:pPr>
        <w:pStyle w:val="Heading1"/>
      </w:pPr>
      <w:bookmarkStart w:id="7" w:name="O_1238645"/>
      <w:bookmarkEnd w:id="7"/>
      <w:r w:rsidRPr="003B4B29">
        <w:t>Foundation Skills</w:t>
      </w:r>
    </w:p>
    <w:tbl>
      <w:tblPr>
        <w:tblW w:w="9497" w:type="dxa"/>
        <w:tblLayout w:type="fixed"/>
        <w:tblCellMar>
          <w:left w:w="62" w:type="dxa"/>
          <w:right w:w="62" w:type="dxa"/>
        </w:tblCellMar>
        <w:tblLook w:val="0000"/>
      </w:tblPr>
      <w:tblGrid>
        <w:gridCol w:w="9497"/>
      </w:tblGrid>
      <w:tr w:rsidTr="003B4B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4B29" w:rsidP="003B4B29">
            <w:pPr>
              <w:pStyle w:val="BodyText"/>
            </w:pPr>
            <w:r w:rsidRPr="003B4B29">
              <w:t>Foundati</w:t>
            </w:r>
            <w:r w:rsidRPr="003B4B29">
              <w:t>on skills essential to performance are explicit in the performance criteria of this unit of competency.</w:t>
            </w:r>
          </w:p>
        </w:tc>
      </w:tr>
    </w:tbl>
    <w:p w:rsidR="00000000" w:rsidRPr="003B4B29" w:rsidP="003B4B29">
      <w:pPr>
        <w:pStyle w:val="NoPaddingFontSize1"/>
      </w:pPr>
    </w:p>
    <w:p w:rsidR="00000000" w:rsidRPr="003B4B29" w:rsidP="003B4B29">
      <w:pPr>
        <w:pStyle w:val="AllowPageBreak"/>
      </w:pPr>
    </w:p>
    <w:p w:rsidR="00000000" w:rsidRPr="003B4B29" w:rsidP="003B4B29">
      <w:pPr>
        <w:pStyle w:val="Heading1"/>
      </w:pPr>
      <w:bookmarkStart w:id="8" w:name="O_1238646"/>
      <w:bookmarkEnd w:id="8"/>
      <w:r w:rsidRPr="003B4B29">
        <w:t>Range of Conditions</w:t>
      </w:r>
    </w:p>
    <w:tbl>
      <w:tblPr>
        <w:tblW w:w="9497" w:type="dxa"/>
        <w:tblLayout w:type="fixed"/>
        <w:tblCellMar>
          <w:left w:w="62" w:type="dxa"/>
          <w:right w:w="62" w:type="dxa"/>
        </w:tblCellMar>
        <w:tblLook w:val="0000"/>
      </w:tblPr>
      <w:tblGrid>
        <w:gridCol w:w="9497"/>
      </w:tblGrid>
      <w:tr w:rsidTr="003B4B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4B29" w:rsidP="003B4B29">
            <w:pPr>
              <w:pStyle w:val="BodyText"/>
            </w:pPr>
            <w:r w:rsidRPr="003B4B29">
              <w:t>Range is restricted to essential operating conditions and any other variables essential to the work environment.</w:t>
            </w:r>
          </w:p>
          <w:p w:rsidR="00000000" w:rsidRPr="003B4B29" w:rsidP="003B4B29">
            <w:pPr>
              <w:pStyle w:val="BodyText"/>
            </w:pPr>
            <w:r w:rsidRPr="003B4B29">
              <w:t>Non-essential conditions may be found in the DEF Defence Training Package Companion Volume Implementation Guide.</w:t>
            </w:r>
          </w:p>
        </w:tc>
      </w:tr>
    </w:tbl>
    <w:p w:rsidR="00000000" w:rsidRPr="003B4B29" w:rsidP="003B4B29">
      <w:pPr>
        <w:pStyle w:val="NoPaddingFontSize1"/>
      </w:pPr>
    </w:p>
    <w:p w:rsidR="00000000" w:rsidRPr="003B4B29" w:rsidP="003B4B29">
      <w:pPr>
        <w:pStyle w:val="AllowPageBreak"/>
      </w:pPr>
    </w:p>
    <w:p w:rsidR="00000000" w:rsidRPr="003B4B29" w:rsidP="003B4B29">
      <w:pPr>
        <w:pStyle w:val="Heading1"/>
      </w:pPr>
      <w:bookmarkStart w:id="9" w:name="O_1238647"/>
      <w:bookmarkEnd w:id="9"/>
      <w:r w:rsidRPr="003B4B29">
        <w:t>Unit Mapp</w:t>
      </w:r>
      <w:r w:rsidRPr="003B4B29">
        <w:t>ing Information</w:t>
      </w:r>
    </w:p>
    <w:tbl>
      <w:tblPr>
        <w:tblW w:w="9497" w:type="dxa"/>
        <w:tblLayout w:type="fixed"/>
        <w:tblCellMar>
          <w:left w:w="62" w:type="dxa"/>
          <w:right w:w="62" w:type="dxa"/>
        </w:tblCellMar>
        <w:tblLook w:val="0000"/>
      </w:tblPr>
      <w:tblGrid>
        <w:gridCol w:w="9497"/>
      </w:tblGrid>
      <w:tr w:rsidTr="003B4B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4B29" w:rsidP="003B4B29">
            <w:pPr>
              <w:pStyle w:val="BodyText"/>
            </w:pPr>
            <w:r w:rsidRPr="003B4B29">
              <w:t>This unit supersedes and is equivalent to DEFFOR006 Conduct electronic data search and analysis.</w:t>
            </w:r>
          </w:p>
        </w:tc>
      </w:tr>
    </w:tbl>
    <w:p w:rsidR="00000000" w:rsidRPr="003B4B29" w:rsidP="003B4B29">
      <w:pPr>
        <w:pStyle w:val="NoPaddingFontSize1"/>
      </w:pPr>
    </w:p>
    <w:p w:rsidR="00000000" w:rsidRPr="003B4B29" w:rsidP="003B4B29">
      <w:pPr>
        <w:pStyle w:val="AllowPageBreak"/>
      </w:pPr>
    </w:p>
    <w:p w:rsidR="00000000" w:rsidRPr="003B4B29" w:rsidP="003B4B29">
      <w:pPr>
        <w:pStyle w:val="Heading1"/>
      </w:pPr>
      <w:bookmarkStart w:id="10" w:name="O_1238654"/>
      <w:bookmarkEnd w:id="10"/>
      <w:r w:rsidRPr="003B4B29">
        <w:t>Links</w:t>
      </w:r>
    </w:p>
    <w:p w:rsidR="00000000" w:rsidRPr="003B4B29" w:rsidP="00831378">
      <w:pPr>
        <w:pStyle w:val="BodyText"/>
      </w:pPr>
      <w:r w:rsidRPr="003B4B29">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8063A2">
        <w:rPr>
          <w:rStyle w:val="Hyperlink"/>
        </w:rPr>
        <w:t>https://vetnet.gov.au/Pages/TrainingDocs.aspx?q=6bdbab1e-11ed-4bc9-9cba-9e1a55d4e4a9</w:t>
      </w:r>
      <w:r>
        <w:fldChar w:fldCharType="end"/>
      </w:r>
    </w:p>
    <w:p w:rsidR="00000000" w:rsidRPr="003B4B29" w:rsidP="003B4B29"/>
    <w:sectPr w:rsidSect="003B4B2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B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B29" w:rsidRPr="00831378" w:rsidP="008313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B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378" w:rsidP="003B4B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1378" w:rsidP="003B4B2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31378" w:rsidP="003B4B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B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3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4B29" w:rsidRPr="00831378" w:rsidP="008313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B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378" w:rsidRPr="002D2AF8" w:rsidP="003B4B29">
    <w:pPr>
      <w:pStyle w:val="Header"/>
      <w:framePr w:wrap="around"/>
    </w:pPr>
    <w:r>
      <w:fldChar w:fldCharType="begin"/>
    </w:r>
    <w:r>
      <w:instrText xml:space="preserve"> TITLE   \* MERGEFORMAT </w:instrText>
    </w:r>
    <w:r>
      <w:fldChar w:fldCharType="separate"/>
    </w:r>
    <w:r>
      <w:t>DEFFOR015 Conduct digital data search and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831378" w:rsidP="003B4B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B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4B29"/>
    <w:pPr>
      <w:spacing w:before="360" w:after="60"/>
      <w:outlineLvl w:val="0"/>
    </w:pPr>
    <w:rPr>
      <w:sz w:val="32"/>
    </w:rPr>
  </w:style>
  <w:style w:type="paragraph" w:styleId="Heading2">
    <w:name w:val="heading 2"/>
    <w:basedOn w:val="HeadingBase"/>
    <w:next w:val="BodyText"/>
    <w:link w:val="Heading2Char"/>
    <w:qFormat/>
    <w:rsid w:val="003B4B29"/>
    <w:pPr>
      <w:keepLines/>
      <w:spacing w:before="240" w:after="120"/>
      <w:outlineLvl w:val="1"/>
    </w:pPr>
    <w:rPr>
      <w:sz w:val="28"/>
      <w:szCs w:val="40"/>
    </w:rPr>
  </w:style>
  <w:style w:type="paragraph" w:styleId="Heading3">
    <w:name w:val="heading 3"/>
    <w:basedOn w:val="HeadingBase"/>
    <w:next w:val="BodyText"/>
    <w:link w:val="Heading3Char"/>
    <w:qFormat/>
    <w:rsid w:val="003B4B29"/>
    <w:pPr>
      <w:spacing w:before="180" w:after="120"/>
      <w:outlineLvl w:val="2"/>
    </w:pPr>
    <w:rPr>
      <w:spacing w:val="-10"/>
      <w:kern w:val="32"/>
    </w:rPr>
  </w:style>
  <w:style w:type="paragraph" w:styleId="Heading4">
    <w:name w:val="heading 4"/>
    <w:basedOn w:val="HeadingBase"/>
    <w:next w:val="BodyText"/>
    <w:link w:val="Heading4Char"/>
    <w:qFormat/>
    <w:rsid w:val="003B4B29"/>
    <w:pPr>
      <w:spacing w:before="160" w:after="120"/>
      <w:outlineLvl w:val="3"/>
    </w:pPr>
    <w:rPr>
      <w:sz w:val="22"/>
    </w:rPr>
  </w:style>
  <w:style w:type="paragraph" w:styleId="Heading5">
    <w:name w:val="heading 5"/>
    <w:basedOn w:val="HeadingBase"/>
    <w:next w:val="Normal"/>
    <w:link w:val="Heading5Char"/>
    <w:qFormat/>
    <w:rsid w:val="003B4B29"/>
    <w:pPr>
      <w:spacing w:before="80"/>
      <w:outlineLvl w:val="4"/>
    </w:pPr>
    <w:rPr>
      <w:color w:val="918585"/>
      <w:sz w:val="20"/>
    </w:rPr>
  </w:style>
  <w:style w:type="paragraph" w:styleId="Heading6">
    <w:name w:val="heading 6"/>
    <w:basedOn w:val="HeadingBase"/>
    <w:next w:val="Normal"/>
    <w:link w:val="Heading6Char"/>
    <w:qFormat/>
    <w:rsid w:val="003B4B29"/>
    <w:pPr>
      <w:spacing w:before="60"/>
      <w:outlineLvl w:val="5"/>
    </w:pPr>
    <w:rPr>
      <w:color w:val="918585"/>
      <w:sz w:val="20"/>
    </w:rPr>
  </w:style>
  <w:style w:type="paragraph" w:styleId="Heading7">
    <w:name w:val="heading 7"/>
    <w:basedOn w:val="Normal"/>
    <w:next w:val="Normal"/>
    <w:link w:val="Heading7Char"/>
    <w:qFormat/>
    <w:rsid w:val="003B4B29"/>
    <w:pPr>
      <w:ind w:left="720"/>
      <w:outlineLvl w:val="6"/>
    </w:pPr>
    <w:rPr>
      <w:i/>
    </w:rPr>
  </w:style>
  <w:style w:type="paragraph" w:styleId="Heading8">
    <w:name w:val="heading 8"/>
    <w:basedOn w:val="Normal"/>
    <w:next w:val="Normal"/>
    <w:link w:val="Heading8Char"/>
    <w:qFormat/>
    <w:rsid w:val="003B4B29"/>
    <w:pPr>
      <w:ind w:left="720"/>
      <w:outlineLvl w:val="7"/>
    </w:pPr>
    <w:rPr>
      <w:i/>
    </w:rPr>
  </w:style>
  <w:style w:type="paragraph" w:styleId="Heading9">
    <w:name w:val="heading 9"/>
    <w:basedOn w:val="Normal"/>
    <w:next w:val="Normal"/>
    <w:link w:val="Heading9Char"/>
    <w:qFormat/>
    <w:rsid w:val="003B4B29"/>
    <w:pPr>
      <w:ind w:left="720"/>
      <w:outlineLvl w:val="8"/>
    </w:pPr>
    <w:rPr>
      <w:i/>
    </w:rPr>
  </w:style>
  <w:style w:type="character" w:default="1" w:styleId="DefaultParagraphFont">
    <w:name w:val="Default Paragraph Font"/>
    <w:uiPriority w:val="1"/>
    <w:unhideWhenUsed/>
    <w:rsid w:val="003B4B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4B29"/>
  </w:style>
  <w:style w:type="character" w:customStyle="1" w:styleId="Heading1Char">
    <w:name w:val="Heading 1 Char"/>
    <w:basedOn w:val="DefaultParagraphFont"/>
    <w:link w:val="Heading1"/>
    <w:rsid w:val="003B4B29"/>
    <w:rPr>
      <w:rFonts w:ascii="Times New Roman" w:eastAsia="Times New Roman" w:hAnsi="Times New Roman" w:cs="Times New Roman"/>
      <w:b/>
      <w:sz w:val="32"/>
      <w:szCs w:val="20"/>
      <w:lang w:eastAsia="en-US"/>
    </w:rPr>
  </w:style>
  <w:style w:type="paragraph" w:styleId="BodyText">
    <w:name w:val="Body Text"/>
    <w:basedOn w:val="Normal"/>
    <w:link w:val="BodyTextChar"/>
    <w:rsid w:val="003B4B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4B29"/>
    <w:rPr>
      <w:rFonts w:ascii="Times New Roman" w:eastAsia="Times New Roman" w:hAnsi="Times New Roman" w:cs="Times New Roman"/>
      <w:sz w:val="24"/>
      <w:lang w:eastAsia="en-US"/>
    </w:rPr>
  </w:style>
  <w:style w:type="character" w:customStyle="1" w:styleId="SpecialBold">
    <w:name w:val="Special Bold"/>
    <w:basedOn w:val="DefaultParagraphFont"/>
    <w:rsid w:val="003B4B29"/>
    <w:rPr>
      <w:b/>
      <w:spacing w:val="0"/>
    </w:rPr>
  </w:style>
  <w:style w:type="paragraph" w:customStyle="1" w:styleId="SuperHeading">
    <w:name w:val="SuperHeading"/>
    <w:basedOn w:val="Normal"/>
    <w:rsid w:val="003B4B29"/>
    <w:pPr>
      <w:spacing w:before="240" w:after="120"/>
      <w:outlineLvl w:val="0"/>
    </w:pPr>
    <w:rPr>
      <w:rFonts w:ascii="Times New Roman" w:hAnsi="Times New Roman"/>
      <w:b/>
      <w:sz w:val="32"/>
    </w:rPr>
  </w:style>
  <w:style w:type="paragraph" w:customStyle="1" w:styleId="AllowPageBreak">
    <w:name w:val="AllowPageBreak"/>
    <w:rsid w:val="003B4B2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B4B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4B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4B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4B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4B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4B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4B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4B29"/>
    <w:rPr>
      <w:rFonts w:ascii="Courier New" w:eastAsia="Times New Roman" w:hAnsi="Courier New" w:cs="Times New Roman"/>
      <w:i/>
      <w:szCs w:val="20"/>
      <w:lang w:eastAsia="en-US"/>
    </w:rPr>
  </w:style>
  <w:style w:type="paragraph" w:customStyle="1" w:styleId="HeadingBase">
    <w:name w:val="Heading Base"/>
    <w:rsid w:val="003B4B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4B29"/>
    <w:pPr>
      <w:tabs>
        <w:tab w:val="right" w:leader="dot" w:pos="9072"/>
      </w:tabs>
      <w:ind w:left="567"/>
    </w:pPr>
    <w:rPr>
      <w:szCs w:val="22"/>
    </w:rPr>
  </w:style>
  <w:style w:type="paragraph" w:customStyle="1" w:styleId="TOCBase">
    <w:name w:val="TOC Base"/>
    <w:rsid w:val="003B4B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4B29"/>
    <w:pPr>
      <w:tabs>
        <w:tab w:val="right" w:leader="dot" w:pos="9072"/>
      </w:tabs>
      <w:spacing w:before="40" w:after="40"/>
      <w:ind w:left="284"/>
    </w:pPr>
    <w:rPr>
      <w:rFonts w:ascii="Times New Roman" w:hAnsi="Times New Roman"/>
    </w:rPr>
  </w:style>
  <w:style w:type="paragraph" w:styleId="TOC1">
    <w:name w:val="toc 1"/>
    <w:basedOn w:val="TOCBase"/>
    <w:next w:val="Normal"/>
    <w:rsid w:val="003B4B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4B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4B29"/>
    <w:rPr>
      <w:rFonts w:ascii="Times New Roman" w:eastAsia="Times New Roman" w:hAnsi="Times New Roman" w:cs="Times New Roman"/>
      <w:sz w:val="16"/>
      <w:lang w:eastAsia="en-US"/>
    </w:rPr>
  </w:style>
  <w:style w:type="paragraph" w:styleId="Title">
    <w:name w:val="Title"/>
    <w:basedOn w:val="HeadingBase"/>
    <w:link w:val="TitleChar"/>
    <w:qFormat/>
    <w:rsid w:val="003B4B29"/>
    <w:pPr>
      <w:spacing w:before="5040"/>
      <w:jc w:val="center"/>
    </w:pPr>
    <w:rPr>
      <w:sz w:val="48"/>
      <w:szCs w:val="72"/>
      <w:lang w:val="en-US"/>
    </w:rPr>
  </w:style>
  <w:style w:type="character" w:customStyle="1" w:styleId="TitleChar">
    <w:name w:val="Title Char"/>
    <w:basedOn w:val="DefaultParagraphFont"/>
    <w:link w:val="Title"/>
    <w:rsid w:val="003B4B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4B29"/>
    <w:pPr>
      <w:tabs>
        <w:tab w:val="left" w:pos="3600"/>
        <w:tab w:val="left" w:pos="3958"/>
      </w:tabs>
    </w:pPr>
  </w:style>
  <w:style w:type="paragraph" w:styleId="List">
    <w:name w:val="List"/>
    <w:basedOn w:val="BodyText"/>
    <w:next w:val="BodyText"/>
    <w:rsid w:val="003B4B29"/>
    <w:pPr>
      <w:tabs>
        <w:tab w:val="left" w:pos="340"/>
      </w:tabs>
      <w:spacing w:before="60" w:after="60"/>
      <w:ind w:left="340" w:hanging="340"/>
    </w:pPr>
  </w:style>
  <w:style w:type="paragraph" w:styleId="ListBullet">
    <w:name w:val="List Bullet"/>
    <w:basedOn w:val="List"/>
    <w:rsid w:val="003B4B29"/>
    <w:pPr>
      <w:numPr>
        <w:numId w:val="10"/>
      </w:numPr>
      <w:tabs>
        <w:tab w:val="clear" w:pos="340"/>
      </w:tabs>
      <w:spacing w:before="40" w:after="40"/>
    </w:pPr>
  </w:style>
  <w:style w:type="paragraph" w:customStyle="1" w:styleId="Note">
    <w:name w:val="Note"/>
    <w:basedOn w:val="BodyText"/>
    <w:rsid w:val="003B4B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4B29"/>
    <w:pPr>
      <w:framePr w:wrap="auto" w:hAnchor="text" w:y="6049"/>
    </w:pPr>
    <w:rPr>
      <w:color w:val="000000"/>
      <w:sz w:val="40"/>
    </w:rPr>
  </w:style>
  <w:style w:type="paragraph" w:customStyle="1" w:styleId="TOCTitle">
    <w:name w:val="TOCTitle"/>
    <w:basedOn w:val="Heading1"/>
    <w:rsid w:val="003B4B29"/>
    <w:pPr>
      <w:spacing w:after="240"/>
      <w:jc w:val="center"/>
      <w:outlineLvl w:val="9"/>
    </w:pPr>
    <w:rPr>
      <w:caps/>
    </w:rPr>
  </w:style>
  <w:style w:type="paragraph" w:customStyle="1" w:styleId="Version">
    <w:name w:val="Version"/>
    <w:rsid w:val="003B4B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4B29"/>
    <w:pPr>
      <w:numPr>
        <w:numId w:val="11"/>
      </w:numPr>
      <w:tabs>
        <w:tab w:val="clear" w:pos="680"/>
      </w:tabs>
    </w:pPr>
  </w:style>
  <w:style w:type="paragraph" w:styleId="Index1">
    <w:name w:val="index 1"/>
    <w:basedOn w:val="Normal"/>
    <w:next w:val="Normal"/>
    <w:semiHidden/>
    <w:rsid w:val="003B4B29"/>
    <w:pPr>
      <w:keepNext w:val="0"/>
      <w:tabs>
        <w:tab w:val="right" w:pos="4176"/>
      </w:tabs>
      <w:ind w:left="198" w:hanging="198"/>
    </w:pPr>
    <w:rPr>
      <w:rFonts w:ascii="Garamond" w:hAnsi="Garamond"/>
    </w:rPr>
  </w:style>
  <w:style w:type="paragraph" w:styleId="IndexHeading">
    <w:name w:val="index heading"/>
    <w:basedOn w:val="Normal"/>
    <w:next w:val="Index1"/>
    <w:semiHidden/>
    <w:rsid w:val="003B4B29"/>
    <w:pPr>
      <w:spacing w:before="120" w:after="120"/>
    </w:pPr>
    <w:rPr>
      <w:rFonts w:ascii="Arial" w:hAnsi="Arial"/>
      <w:b/>
      <w:color w:val="918585"/>
      <w:sz w:val="24"/>
    </w:rPr>
  </w:style>
  <w:style w:type="paragraph" w:styleId="Header">
    <w:name w:val="header"/>
    <w:basedOn w:val="Normal"/>
    <w:link w:val="HeaderChar"/>
    <w:rsid w:val="003B4B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4B29"/>
    <w:rPr>
      <w:rFonts w:ascii="Times New Roman" w:eastAsia="Times New Roman" w:hAnsi="Times New Roman" w:cs="Times New Roman"/>
      <w:sz w:val="16"/>
      <w:szCs w:val="20"/>
      <w:lang w:val="en-GB" w:eastAsia="en-US"/>
    </w:rPr>
  </w:style>
  <w:style w:type="paragraph" w:customStyle="1" w:styleId="Chapter">
    <w:name w:val="Chapter"/>
    <w:basedOn w:val="Normal"/>
    <w:rsid w:val="003B4B29"/>
    <w:pPr>
      <w:spacing w:before="240"/>
    </w:pPr>
    <w:rPr>
      <w:rFonts w:ascii="Times New Roman" w:hAnsi="Times New Roman"/>
      <w:smallCaps/>
      <w:spacing w:val="80"/>
      <w:sz w:val="28"/>
    </w:rPr>
  </w:style>
  <w:style w:type="paragraph" w:customStyle="1" w:styleId="InChapter">
    <w:name w:val="InChapter"/>
    <w:basedOn w:val="Heading3"/>
    <w:rsid w:val="003B4B29"/>
    <w:pPr>
      <w:spacing w:after="240"/>
      <w:outlineLvl w:val="9"/>
    </w:pPr>
    <w:rPr>
      <w:noProof/>
    </w:rPr>
  </w:style>
  <w:style w:type="paragraph" w:styleId="Index2">
    <w:name w:val="index 2"/>
    <w:basedOn w:val="Normal"/>
    <w:next w:val="Normal"/>
    <w:semiHidden/>
    <w:rsid w:val="003B4B29"/>
    <w:pPr>
      <w:tabs>
        <w:tab w:val="right" w:pos="4176"/>
      </w:tabs>
      <w:ind w:left="568" w:hanging="284"/>
    </w:pPr>
    <w:rPr>
      <w:rFonts w:ascii="Garamond" w:hAnsi="Garamond"/>
    </w:rPr>
  </w:style>
  <w:style w:type="paragraph" w:customStyle="1" w:styleId="Byline">
    <w:name w:val="Byline"/>
    <w:rsid w:val="003B4B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4B29"/>
    <w:pPr>
      <w:tabs>
        <w:tab w:val="clear" w:pos="3600"/>
        <w:tab w:val="clear" w:pos="3958"/>
      </w:tabs>
      <w:jc w:val="right"/>
    </w:pPr>
  </w:style>
  <w:style w:type="character" w:styleId="Emphasis">
    <w:name w:val="Emphasis"/>
    <w:basedOn w:val="DefaultParagraphFont"/>
    <w:qFormat/>
    <w:rsid w:val="003B4B29"/>
    <w:rPr>
      <w:i/>
    </w:rPr>
  </w:style>
  <w:style w:type="paragraph" w:styleId="Caption">
    <w:name w:val="caption"/>
    <w:basedOn w:val="BodyText"/>
    <w:next w:val="Normal"/>
    <w:qFormat/>
    <w:rsid w:val="003B4B29"/>
    <w:pPr>
      <w:framePr w:w="2268" w:hSpace="181" w:vSpace="181" w:wrap="around" w:vAnchor="text" w:hAnchor="page" w:x="1135" w:y="285" w:anchorLock="1"/>
    </w:pPr>
    <w:rPr>
      <w:i/>
    </w:rPr>
  </w:style>
  <w:style w:type="paragraph" w:customStyle="1" w:styleId="MiniTOCTitle">
    <w:name w:val="MiniTOCTitle"/>
    <w:basedOn w:val="Heading4"/>
    <w:rsid w:val="003B4B29"/>
    <w:pPr>
      <w:spacing w:before="240"/>
      <w:outlineLvl w:val="9"/>
    </w:pPr>
    <w:rPr>
      <w:noProof/>
      <w:sz w:val="24"/>
    </w:rPr>
  </w:style>
  <w:style w:type="paragraph" w:customStyle="1" w:styleId="MiniTOCItem">
    <w:name w:val="MiniTOCItem"/>
    <w:basedOn w:val="ListBullet"/>
    <w:rsid w:val="003B4B29"/>
    <w:pPr>
      <w:numPr>
        <w:numId w:val="0"/>
      </w:numPr>
      <w:tabs>
        <w:tab w:val="right" w:leader="dot" w:pos="6521"/>
      </w:tabs>
      <w:spacing w:before="0" w:after="0"/>
    </w:pPr>
  </w:style>
  <w:style w:type="paragraph" w:customStyle="1" w:styleId="TOFTitle">
    <w:name w:val="TOFTitle"/>
    <w:basedOn w:val="TOCTitle"/>
    <w:rsid w:val="003B4B29"/>
  </w:style>
  <w:style w:type="paragraph" w:styleId="TableofFigures">
    <w:name w:val="table of figures"/>
    <w:basedOn w:val="Normal"/>
    <w:next w:val="Normal"/>
    <w:semiHidden/>
    <w:rsid w:val="003B4B29"/>
    <w:pPr>
      <w:tabs>
        <w:tab w:val="right" w:leader="dot" w:pos="9072"/>
      </w:tabs>
      <w:ind w:left="970" w:hanging="403"/>
    </w:pPr>
    <w:rPr>
      <w:rFonts w:ascii="Times New Roman" w:hAnsi="Times New Roman"/>
      <w:b/>
    </w:rPr>
  </w:style>
  <w:style w:type="paragraph" w:styleId="ListNumber">
    <w:name w:val="List Number"/>
    <w:basedOn w:val="List"/>
    <w:rsid w:val="003B4B29"/>
    <w:pPr>
      <w:numPr>
        <w:numId w:val="13"/>
      </w:numPr>
      <w:tabs>
        <w:tab w:val="clear" w:pos="340"/>
      </w:tabs>
    </w:pPr>
  </w:style>
  <w:style w:type="character" w:customStyle="1" w:styleId="WingdingSymbols">
    <w:name w:val="Wingding Symbols"/>
    <w:rsid w:val="003B4B29"/>
    <w:rPr>
      <w:rFonts w:ascii="Wingdings" w:hAnsi="Wingdings"/>
    </w:rPr>
  </w:style>
  <w:style w:type="paragraph" w:customStyle="1" w:styleId="TableHeading">
    <w:name w:val="Table Heading"/>
    <w:basedOn w:val="HeadingBase"/>
    <w:rsid w:val="003B4B29"/>
    <w:pPr>
      <w:keepLines/>
      <w:pBdr>
        <w:bottom w:val="single" w:sz="6" w:space="1" w:color="918585"/>
      </w:pBdr>
      <w:spacing w:before="240"/>
    </w:pPr>
  </w:style>
  <w:style w:type="character" w:customStyle="1" w:styleId="HotSpot">
    <w:name w:val="HotSpot"/>
    <w:rsid w:val="003B4B29"/>
    <w:rPr>
      <w:color w:val="0033CC"/>
      <w:u w:val="none"/>
    </w:rPr>
  </w:style>
  <w:style w:type="paragraph" w:customStyle="1" w:styleId="BodyTextRight">
    <w:name w:val="Body Text Right"/>
    <w:basedOn w:val="BodyText"/>
    <w:rsid w:val="003B4B29"/>
    <w:pPr>
      <w:spacing w:before="0" w:after="0"/>
      <w:jc w:val="right"/>
    </w:pPr>
  </w:style>
  <w:style w:type="paragraph" w:styleId="Index3">
    <w:name w:val="index 3"/>
    <w:basedOn w:val="ListNumber2"/>
    <w:next w:val="Normal"/>
    <w:semiHidden/>
    <w:rsid w:val="003B4B29"/>
    <w:pPr>
      <w:numPr>
        <w:numId w:val="0"/>
      </w:numPr>
      <w:tabs>
        <w:tab w:val="right" w:leader="dot" w:pos="4176"/>
      </w:tabs>
    </w:pPr>
  </w:style>
  <w:style w:type="paragraph" w:styleId="ListNumber2">
    <w:name w:val="List Number 2"/>
    <w:basedOn w:val="List2"/>
    <w:rsid w:val="003B4B29"/>
    <w:pPr>
      <w:numPr>
        <w:numId w:val="8"/>
      </w:numPr>
      <w:tabs>
        <w:tab w:val="clear" w:pos="1060"/>
      </w:tabs>
    </w:pPr>
  </w:style>
  <w:style w:type="paragraph" w:customStyle="1" w:styleId="MarginNote">
    <w:name w:val="Margin Note"/>
    <w:basedOn w:val="BodyText"/>
    <w:rsid w:val="003B4B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4B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4B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4B29"/>
    <w:rPr>
      <w:sz w:val="32"/>
    </w:rPr>
  </w:style>
  <w:style w:type="paragraph" w:customStyle="1" w:styleId="HeadingProcedure">
    <w:name w:val="Heading Procedure"/>
    <w:basedOn w:val="HeadingBase"/>
    <w:next w:val="Normal"/>
    <w:rsid w:val="003B4B29"/>
    <w:pPr>
      <w:tabs>
        <w:tab w:val="left" w:pos="0"/>
      </w:tabs>
      <w:spacing w:before="120" w:after="60"/>
    </w:pPr>
    <w:rPr>
      <w:i/>
      <w:color w:val="918585"/>
      <w:sz w:val="22"/>
    </w:rPr>
  </w:style>
  <w:style w:type="paragraph" w:customStyle="1" w:styleId="TableBodyText">
    <w:name w:val="Table Body Text"/>
    <w:basedOn w:val="BodyText"/>
    <w:rsid w:val="003B4B29"/>
    <w:pPr>
      <w:spacing w:before="60" w:after="60"/>
    </w:pPr>
  </w:style>
  <w:style w:type="paragraph" w:styleId="ListContinue">
    <w:name w:val="List Continue"/>
    <w:basedOn w:val="List"/>
    <w:rsid w:val="003B4B29"/>
    <w:pPr>
      <w:ind w:firstLine="0"/>
    </w:pPr>
  </w:style>
  <w:style w:type="paragraph" w:customStyle="1" w:styleId="ListNote">
    <w:name w:val="List Note"/>
    <w:basedOn w:val="List"/>
    <w:rsid w:val="003B4B29"/>
    <w:pPr>
      <w:pBdr>
        <w:top w:val="single" w:sz="6" w:space="2" w:color="918585"/>
        <w:bottom w:val="single" w:sz="6" w:space="2" w:color="918585"/>
      </w:pBdr>
      <w:tabs>
        <w:tab w:val="left" w:pos="1021"/>
      </w:tabs>
      <w:ind w:firstLine="0"/>
    </w:pPr>
  </w:style>
  <w:style w:type="paragraph" w:customStyle="1" w:styleId="Warning">
    <w:name w:val="Warning"/>
    <w:basedOn w:val="BodyText"/>
    <w:rsid w:val="003B4B29"/>
    <w:pPr>
      <w:shd w:val="clear" w:color="auto" w:fill="D9D9D9"/>
      <w:tabs>
        <w:tab w:val="left" w:pos="992"/>
      </w:tabs>
      <w:ind w:left="119" w:right="119"/>
    </w:pPr>
    <w:rPr>
      <w:sz w:val="20"/>
    </w:rPr>
  </w:style>
  <w:style w:type="paragraph" w:customStyle="1" w:styleId="MarginIcons">
    <w:name w:val="Margin Icons"/>
    <w:basedOn w:val="BodyText"/>
    <w:rsid w:val="003B4B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4B29"/>
    <w:rPr>
      <w:rFonts w:ascii="Courier New" w:hAnsi="Courier New"/>
    </w:rPr>
  </w:style>
  <w:style w:type="paragraph" w:customStyle="1" w:styleId="NoteBullet">
    <w:name w:val="Note Bullet"/>
    <w:basedOn w:val="Note"/>
    <w:rsid w:val="003B4B29"/>
    <w:pPr>
      <w:tabs>
        <w:tab w:val="clear" w:pos="680"/>
      </w:tabs>
      <w:spacing w:before="60" w:after="60"/>
    </w:pPr>
  </w:style>
  <w:style w:type="paragraph" w:customStyle="1" w:styleId="SubHeading2">
    <w:name w:val="SubHeading2"/>
    <w:basedOn w:val="HeadingBase"/>
    <w:rsid w:val="003B4B29"/>
    <w:pPr>
      <w:spacing w:before="240" w:after="60"/>
    </w:pPr>
    <w:rPr>
      <w:sz w:val="20"/>
    </w:rPr>
  </w:style>
  <w:style w:type="paragraph" w:customStyle="1" w:styleId="SubHeading1">
    <w:name w:val="SubHeading1"/>
    <w:basedOn w:val="HeadingBase"/>
    <w:rsid w:val="003B4B29"/>
    <w:pPr>
      <w:spacing w:before="240" w:after="60"/>
    </w:pPr>
    <w:rPr>
      <w:color w:val="918585"/>
      <w:sz w:val="22"/>
    </w:rPr>
  </w:style>
  <w:style w:type="paragraph" w:customStyle="1" w:styleId="SideHeading">
    <w:name w:val="Side Heading"/>
    <w:basedOn w:val="HeadingBase"/>
    <w:rsid w:val="003B4B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4B29"/>
    <w:pPr>
      <w:numPr>
        <w:numId w:val="9"/>
      </w:numPr>
    </w:pPr>
  </w:style>
  <w:style w:type="paragraph" w:styleId="PlainText">
    <w:name w:val="Plain Text"/>
    <w:basedOn w:val="Normal"/>
    <w:link w:val="PlainTextChar"/>
    <w:rsid w:val="003B4B29"/>
    <w:rPr>
      <w:sz w:val="20"/>
    </w:rPr>
  </w:style>
  <w:style w:type="character" w:customStyle="1" w:styleId="PlainTextChar">
    <w:name w:val="Plain Text Char"/>
    <w:basedOn w:val="DefaultParagraphFont"/>
    <w:link w:val="PlainText"/>
    <w:rsid w:val="003B4B29"/>
    <w:rPr>
      <w:rFonts w:ascii="Courier New" w:eastAsia="Times New Roman" w:hAnsi="Courier New" w:cs="Times New Roman"/>
      <w:sz w:val="20"/>
      <w:szCs w:val="20"/>
      <w:lang w:eastAsia="en-US"/>
    </w:rPr>
  </w:style>
  <w:style w:type="character" w:customStyle="1" w:styleId="MenuOption">
    <w:name w:val="Menu Option"/>
    <w:basedOn w:val="DefaultParagraphFont"/>
    <w:rsid w:val="003B4B29"/>
    <w:rPr>
      <w:b/>
      <w:smallCaps/>
    </w:rPr>
  </w:style>
  <w:style w:type="paragraph" w:customStyle="1" w:styleId="TableListNumber">
    <w:name w:val="Table List Number"/>
    <w:basedOn w:val="ListNumber"/>
    <w:rsid w:val="003B4B29"/>
    <w:pPr>
      <w:numPr>
        <w:numId w:val="0"/>
      </w:numPr>
    </w:pPr>
  </w:style>
  <w:style w:type="paragraph" w:styleId="TOC4">
    <w:name w:val="toc 4"/>
    <w:basedOn w:val="TOCBase"/>
    <w:next w:val="Normal"/>
    <w:semiHidden/>
    <w:rsid w:val="003B4B29"/>
    <w:pPr>
      <w:tabs>
        <w:tab w:val="right" w:leader="dot" w:pos="9071"/>
      </w:tabs>
      <w:ind w:left="1701"/>
    </w:pPr>
  </w:style>
  <w:style w:type="paragraph" w:customStyle="1" w:styleId="ListAlpha">
    <w:name w:val="List Alpha"/>
    <w:basedOn w:val="List"/>
    <w:rsid w:val="003B4B29"/>
    <w:pPr>
      <w:numPr>
        <w:numId w:val="7"/>
      </w:numPr>
    </w:pPr>
  </w:style>
  <w:style w:type="paragraph" w:customStyle="1" w:styleId="ListAlpha2">
    <w:name w:val="List Alpha 2"/>
    <w:basedOn w:val="List2"/>
    <w:rsid w:val="003B4B29"/>
    <w:pPr>
      <w:numPr>
        <w:numId w:val="6"/>
      </w:numPr>
    </w:pPr>
  </w:style>
  <w:style w:type="paragraph" w:styleId="List2">
    <w:name w:val="List 2"/>
    <w:basedOn w:val="BodyText"/>
    <w:rsid w:val="003B4B29"/>
    <w:pPr>
      <w:tabs>
        <w:tab w:val="left" w:pos="680"/>
      </w:tabs>
      <w:spacing w:before="60" w:after="60"/>
      <w:ind w:left="680" w:hanging="340"/>
    </w:pPr>
  </w:style>
  <w:style w:type="paragraph" w:styleId="List3">
    <w:name w:val="List 3"/>
    <w:basedOn w:val="BodyText"/>
    <w:rsid w:val="003B4B29"/>
    <w:pPr>
      <w:tabs>
        <w:tab w:val="left" w:pos="1021"/>
      </w:tabs>
      <w:spacing w:before="60" w:after="60"/>
      <w:ind w:left="1020" w:hanging="340"/>
    </w:pPr>
  </w:style>
  <w:style w:type="paragraph" w:styleId="List4">
    <w:name w:val="List 4"/>
    <w:basedOn w:val="BodyText"/>
    <w:rsid w:val="003B4B29"/>
    <w:pPr>
      <w:tabs>
        <w:tab w:val="left" w:pos="1361"/>
      </w:tabs>
      <w:spacing w:before="60" w:after="60"/>
      <w:ind w:left="1361" w:hanging="340"/>
    </w:pPr>
  </w:style>
  <w:style w:type="paragraph" w:styleId="List5">
    <w:name w:val="List 5"/>
    <w:basedOn w:val="BodyText"/>
    <w:rsid w:val="003B4B29"/>
    <w:pPr>
      <w:tabs>
        <w:tab w:val="left" w:pos="1701"/>
      </w:tabs>
      <w:spacing w:before="60" w:after="60"/>
      <w:ind w:left="1701" w:hanging="340"/>
    </w:pPr>
  </w:style>
  <w:style w:type="paragraph" w:styleId="ListBullet3">
    <w:name w:val="List Bullet 3"/>
    <w:basedOn w:val="List3"/>
    <w:rsid w:val="003B4B29"/>
    <w:pPr>
      <w:numPr>
        <w:numId w:val="12"/>
      </w:numPr>
      <w:tabs>
        <w:tab w:val="clear" w:pos="1021"/>
      </w:tabs>
      <w:ind w:left="1037" w:hanging="357"/>
    </w:pPr>
  </w:style>
  <w:style w:type="paragraph" w:styleId="ListBullet4">
    <w:name w:val="List Bullet 4"/>
    <w:basedOn w:val="List4"/>
    <w:rsid w:val="003B4B29"/>
    <w:pPr>
      <w:numPr>
        <w:numId w:val="1"/>
      </w:numPr>
      <w:tabs>
        <w:tab w:val="clear" w:pos="1361"/>
      </w:tabs>
    </w:pPr>
  </w:style>
  <w:style w:type="paragraph" w:styleId="ListBullet5">
    <w:name w:val="List Bullet 5"/>
    <w:basedOn w:val="List5"/>
    <w:rsid w:val="003B4B29"/>
    <w:pPr>
      <w:numPr>
        <w:numId w:val="2"/>
      </w:numPr>
    </w:pPr>
  </w:style>
  <w:style w:type="paragraph" w:styleId="ListContinue2">
    <w:name w:val="List Continue 2"/>
    <w:basedOn w:val="List2"/>
    <w:rsid w:val="003B4B29"/>
    <w:pPr>
      <w:ind w:firstLine="0"/>
    </w:pPr>
  </w:style>
  <w:style w:type="paragraph" w:styleId="ListContinue3">
    <w:name w:val="List Continue 3"/>
    <w:basedOn w:val="List3"/>
    <w:rsid w:val="003B4B29"/>
    <w:pPr>
      <w:ind w:left="1021" w:firstLine="0"/>
    </w:pPr>
  </w:style>
  <w:style w:type="paragraph" w:styleId="ListContinue4">
    <w:name w:val="List Continue 4"/>
    <w:basedOn w:val="List4"/>
    <w:rsid w:val="003B4B29"/>
    <w:pPr>
      <w:ind w:firstLine="0"/>
    </w:pPr>
  </w:style>
  <w:style w:type="paragraph" w:styleId="ListContinue5">
    <w:name w:val="List Continue 5"/>
    <w:basedOn w:val="List5"/>
    <w:rsid w:val="003B4B29"/>
    <w:pPr>
      <w:ind w:firstLine="0"/>
    </w:pPr>
  </w:style>
  <w:style w:type="paragraph" w:styleId="ListNumber3">
    <w:name w:val="List Number 3"/>
    <w:basedOn w:val="List3"/>
    <w:rsid w:val="003B4B29"/>
    <w:pPr>
      <w:numPr>
        <w:numId w:val="3"/>
      </w:numPr>
    </w:pPr>
  </w:style>
  <w:style w:type="paragraph" w:styleId="ListNumber4">
    <w:name w:val="List Number 4"/>
    <w:basedOn w:val="List4"/>
    <w:rsid w:val="003B4B29"/>
    <w:pPr>
      <w:numPr>
        <w:numId w:val="4"/>
      </w:numPr>
    </w:pPr>
  </w:style>
  <w:style w:type="paragraph" w:styleId="ListNumber5">
    <w:name w:val="List Number 5"/>
    <w:basedOn w:val="List5"/>
    <w:rsid w:val="003B4B29"/>
    <w:pPr>
      <w:numPr>
        <w:numId w:val="5"/>
      </w:numPr>
    </w:pPr>
  </w:style>
  <w:style w:type="paragraph" w:styleId="BlockText">
    <w:name w:val="Block Text"/>
    <w:basedOn w:val="Normal"/>
    <w:rsid w:val="003B4B29"/>
    <w:pPr>
      <w:spacing w:after="120"/>
      <w:ind w:left="1440" w:right="1440"/>
    </w:pPr>
  </w:style>
  <w:style w:type="character" w:customStyle="1" w:styleId="Subscript">
    <w:name w:val="Subscript"/>
    <w:basedOn w:val="DefaultParagraphFont"/>
    <w:rsid w:val="003B4B29"/>
    <w:rPr>
      <w:sz w:val="16"/>
      <w:vertAlign w:val="subscript"/>
    </w:rPr>
  </w:style>
  <w:style w:type="character" w:customStyle="1" w:styleId="Superscript">
    <w:name w:val="Superscript"/>
    <w:basedOn w:val="DefaultParagraphFont"/>
    <w:rsid w:val="003B4B29"/>
    <w:rPr>
      <w:sz w:val="16"/>
      <w:vertAlign w:val="superscript"/>
    </w:rPr>
  </w:style>
  <w:style w:type="character" w:customStyle="1" w:styleId="Symbols">
    <w:name w:val="Symbols"/>
    <w:basedOn w:val="DefaultParagraphFont"/>
    <w:rsid w:val="003B4B29"/>
    <w:rPr>
      <w:rFonts w:ascii="Symbol" w:hAnsi="Symbol"/>
    </w:rPr>
  </w:style>
  <w:style w:type="character" w:customStyle="1" w:styleId="MenuOptions">
    <w:name w:val="Menu Options"/>
    <w:basedOn w:val="DefaultParagraphFont"/>
    <w:rsid w:val="003B4B29"/>
    <w:rPr>
      <w:rFonts w:ascii="Arial Narrow" w:hAnsi="Arial Narrow"/>
      <w:smallCaps/>
    </w:rPr>
  </w:style>
  <w:style w:type="character" w:customStyle="1" w:styleId="Buttons">
    <w:name w:val="Buttons"/>
    <w:basedOn w:val="DefaultParagraphFont"/>
    <w:rsid w:val="003B4B29"/>
    <w:rPr>
      <w:b/>
    </w:rPr>
  </w:style>
  <w:style w:type="character" w:customStyle="1" w:styleId="Underlined">
    <w:name w:val="Underlined"/>
    <w:basedOn w:val="DefaultParagraphFont"/>
    <w:rsid w:val="003B4B29"/>
    <w:rPr>
      <w:u w:val="single"/>
    </w:rPr>
  </w:style>
  <w:style w:type="paragraph" w:customStyle="1" w:styleId="TableBodyTextRight">
    <w:name w:val="Table Body Text Right"/>
    <w:basedOn w:val="TableBodyText"/>
    <w:rsid w:val="003B4B29"/>
    <w:pPr>
      <w:widowControl w:val="0"/>
      <w:autoSpaceDE w:val="0"/>
      <w:autoSpaceDN w:val="0"/>
      <w:adjustRightInd w:val="0"/>
      <w:jc w:val="right"/>
    </w:pPr>
    <w:rPr>
      <w:rFonts w:cs="Arial"/>
      <w:szCs w:val="18"/>
    </w:rPr>
  </w:style>
  <w:style w:type="paragraph" w:customStyle="1" w:styleId="CopyrightText">
    <w:name w:val="Copyright Text"/>
    <w:basedOn w:val="BodyText"/>
    <w:rsid w:val="003B4B29"/>
    <w:rPr>
      <w:sz w:val="18"/>
    </w:rPr>
  </w:style>
  <w:style w:type="paragraph" w:customStyle="1" w:styleId="BodySmallRight">
    <w:name w:val="Body Small Right"/>
    <w:basedOn w:val="BodyTextRight"/>
    <w:rsid w:val="003B4B29"/>
    <w:rPr>
      <w:sz w:val="18"/>
      <w:szCs w:val="18"/>
    </w:rPr>
  </w:style>
  <w:style w:type="paragraph" w:customStyle="1" w:styleId="MarginEdition">
    <w:name w:val="Margin Edition"/>
    <w:basedOn w:val="MarginNote"/>
    <w:rsid w:val="003B4B29"/>
    <w:pPr>
      <w:spacing w:before="0" w:after="0"/>
    </w:pPr>
    <w:rPr>
      <w:rFonts w:ascii="Times New Roman" w:hAnsi="Times New Roman"/>
      <w:color w:val="999999"/>
    </w:rPr>
  </w:style>
  <w:style w:type="paragraph" w:customStyle="1" w:styleId="Spacer">
    <w:name w:val="Spacer"/>
    <w:basedOn w:val="Normal"/>
    <w:rsid w:val="003B4B29"/>
    <w:rPr>
      <w:sz w:val="2"/>
      <w:szCs w:val="2"/>
    </w:rPr>
  </w:style>
  <w:style w:type="character" w:customStyle="1" w:styleId="Small">
    <w:name w:val="Small"/>
    <w:basedOn w:val="DefaultParagraphFont"/>
    <w:rsid w:val="003B4B29"/>
    <w:rPr>
      <w:sz w:val="16"/>
    </w:rPr>
  </w:style>
  <w:style w:type="paragraph" w:customStyle="1" w:styleId="WideTable">
    <w:name w:val="Wide Table"/>
    <w:basedOn w:val="Normal"/>
    <w:rsid w:val="003B4B29"/>
    <w:pPr>
      <w:ind w:left="-1418"/>
    </w:pPr>
    <w:rPr>
      <w:sz w:val="2"/>
      <w:szCs w:val="2"/>
    </w:rPr>
  </w:style>
  <w:style w:type="character" w:styleId="PageNumber">
    <w:name w:val="page number"/>
    <w:basedOn w:val="DefaultParagraphFont"/>
    <w:rsid w:val="003B4B29"/>
  </w:style>
  <w:style w:type="paragraph" w:styleId="Quote">
    <w:name w:val="Quote"/>
    <w:basedOn w:val="Heading1"/>
    <w:link w:val="QuoteChar"/>
    <w:qFormat/>
    <w:rsid w:val="003B4B29"/>
    <w:rPr>
      <w:b w:val="0"/>
      <w:sz w:val="72"/>
      <w:szCs w:val="72"/>
      <w:lang w:val="en-NZ"/>
    </w:rPr>
  </w:style>
  <w:style w:type="character" w:customStyle="1" w:styleId="QuoteChar">
    <w:name w:val="Quote Char"/>
    <w:basedOn w:val="DefaultParagraphFont"/>
    <w:link w:val="Quote"/>
    <w:rsid w:val="003B4B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4B29"/>
    <w:pPr>
      <w:pageBreakBefore/>
    </w:pPr>
  </w:style>
  <w:style w:type="paragraph" w:customStyle="1" w:styleId="Border">
    <w:name w:val="Border"/>
    <w:basedOn w:val="Normal"/>
    <w:qFormat/>
    <w:rsid w:val="003B4B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4B29"/>
    <w:rPr>
      <w:b/>
      <w:bCs/>
      <w:i/>
      <w:iCs/>
      <w:color w:val="auto"/>
    </w:rPr>
  </w:style>
  <w:style w:type="paragraph" w:styleId="IntenseQuote">
    <w:name w:val="Intense Quote"/>
    <w:basedOn w:val="Normal"/>
    <w:next w:val="Normal"/>
    <w:link w:val="IntenseQuoteChar"/>
    <w:uiPriority w:val="30"/>
    <w:qFormat/>
    <w:rsid w:val="003B4B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4B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4B29"/>
    <w:rPr>
      <w:smallCaps/>
      <w:color w:val="auto"/>
      <w:u w:val="single"/>
    </w:rPr>
  </w:style>
  <w:style w:type="character" w:styleId="IntenseReference">
    <w:name w:val="Intense Reference"/>
    <w:basedOn w:val="DefaultParagraphFont"/>
    <w:uiPriority w:val="32"/>
    <w:qFormat/>
    <w:rsid w:val="003B4B29"/>
    <w:rPr>
      <w:b/>
      <w:bCs/>
      <w:smallCaps/>
      <w:color w:val="auto"/>
      <w:spacing w:val="5"/>
      <w:u w:val="single"/>
    </w:rPr>
  </w:style>
  <w:style w:type="paragraph" w:customStyle="1" w:styleId="2ColumnHeading">
    <w:name w:val="2Column Heading"/>
    <w:basedOn w:val="BodyText"/>
    <w:qFormat/>
    <w:rsid w:val="003B4B29"/>
    <w:pPr>
      <w:spacing w:after="60"/>
      <w:ind w:left="-2268"/>
    </w:pPr>
    <w:rPr>
      <w:b/>
    </w:rPr>
  </w:style>
  <w:style w:type="paragraph" w:customStyle="1" w:styleId="Heading1TOC">
    <w:name w:val="Heading1 TOC"/>
    <w:basedOn w:val="Normal"/>
    <w:qFormat/>
    <w:rsid w:val="003B4B29"/>
    <w:pPr>
      <w:spacing w:before="240" w:after="120"/>
    </w:pPr>
    <w:rPr>
      <w:rFonts w:ascii="Times New Roman" w:hAnsi="Times New Roman"/>
      <w:b/>
      <w:sz w:val="32"/>
    </w:rPr>
  </w:style>
  <w:style w:type="paragraph" w:customStyle="1" w:styleId="Heading2TOC">
    <w:name w:val="Heading2 TOC"/>
    <w:basedOn w:val="Normal"/>
    <w:qFormat/>
    <w:rsid w:val="003B4B29"/>
    <w:pPr>
      <w:spacing w:before="240" w:after="60"/>
    </w:pPr>
    <w:rPr>
      <w:rFonts w:ascii="Times New Roman" w:hAnsi="Times New Roman"/>
      <w:b/>
      <w:sz w:val="28"/>
    </w:rPr>
  </w:style>
  <w:style w:type="character" w:customStyle="1" w:styleId="Underline">
    <w:name w:val="Underline"/>
    <w:basedOn w:val="DefaultParagraphFont"/>
    <w:qFormat/>
    <w:rsid w:val="003B4B29"/>
    <w:rPr>
      <w:u w:val="single"/>
    </w:rPr>
  </w:style>
  <w:style w:type="character" w:customStyle="1" w:styleId="BoldandItalics">
    <w:name w:val="Bold and Italics"/>
    <w:qFormat/>
    <w:rsid w:val="003B4B29"/>
    <w:rPr>
      <w:b/>
      <w:i/>
      <w:u w:val="none"/>
    </w:rPr>
  </w:style>
  <w:style w:type="paragraph" w:styleId="BalloonText">
    <w:name w:val="Balloon Text"/>
    <w:basedOn w:val="Normal"/>
    <w:link w:val="BalloonTextChar"/>
    <w:rsid w:val="003B4B29"/>
    <w:rPr>
      <w:rFonts w:ascii="Tahoma" w:hAnsi="Tahoma" w:cs="Tahoma"/>
      <w:sz w:val="16"/>
      <w:szCs w:val="16"/>
    </w:rPr>
  </w:style>
  <w:style w:type="character" w:customStyle="1" w:styleId="BalloonTextChar">
    <w:name w:val="Balloon Text Char"/>
    <w:basedOn w:val="DefaultParagraphFont"/>
    <w:link w:val="BalloonText"/>
    <w:rsid w:val="003B4B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4B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4B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4B29"/>
    <w:rPr>
      <w:b/>
      <w:color w:val="660033"/>
      <w:spacing w:val="0"/>
    </w:rPr>
  </w:style>
  <w:style w:type="paragraph" w:customStyle="1" w:styleId="Nameditemlist">
    <w:name w:val="Named item list"/>
    <w:basedOn w:val="BodyText"/>
    <w:qFormat/>
    <w:rsid w:val="003B4B29"/>
    <w:pPr>
      <w:tabs>
        <w:tab w:val="left" w:pos="2835"/>
      </w:tabs>
      <w:ind w:left="2835" w:hanging="2835"/>
    </w:pPr>
  </w:style>
  <w:style w:type="paragraph" w:customStyle="1" w:styleId="BodyTextnopadding">
    <w:name w:val="Body Text no padding"/>
    <w:basedOn w:val="BodyText"/>
    <w:qFormat/>
    <w:rsid w:val="003B4B29"/>
    <w:pPr>
      <w:spacing w:before="0" w:after="0"/>
    </w:pPr>
  </w:style>
  <w:style w:type="paragraph" w:customStyle="1" w:styleId="BodyTextBold">
    <w:name w:val="Body Text Bold"/>
    <w:basedOn w:val="BodyText"/>
    <w:qFormat/>
    <w:rsid w:val="003B4B29"/>
    <w:rPr>
      <w:b/>
    </w:rPr>
  </w:style>
  <w:style w:type="character" w:styleId="Hyperlink">
    <w:name w:val="Hyperlink"/>
    <w:basedOn w:val="DefaultParagraphFont"/>
    <w:uiPriority w:val="99"/>
    <w:unhideWhenUsed/>
    <w:rsid w:val="008313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580</Words>
  <Characters>3635</Characters>
  <Application>Microsoft Office Word</Application>
  <DocSecurity>0</DocSecurity>
  <Lines>173</Lines>
  <Paragraphs>89</Paragraphs>
  <ScaleCrop>false</ScaleCrop>
  <Company>Author-it Software Corporation Ltd.</Company>
  <LinksUpToDate>false</LinksUpToDate>
  <CharactersWithSpaces>4126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DEFFOR015 Conduct digital data search and analysis</dc:title>
  <dc:subject>Approved</dc:subject>
  <dc:creator>Public Skills Australia</dc:creator>
  <cp:keywords>Release: 1</cp:keywords>
  <dc:description>Review Date: 12 April 2008</dc:description>
  <cp:lastModifiedBy>HSD_TPCMSd.prod</cp:lastModifiedBy>
  <cp:revision>3</cp:revision>
  <dcterms:created xsi:type="dcterms:W3CDTF">2024-11-07T12:07:00Z</dcterms:created>
  <dcterms:modified xsi:type="dcterms:W3CDTF">2024-11-07T12:07:00Z</dcterms:modified>
</cp:coreProperties>
</file>