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BBA" w:rsidP="00D20BBA">
      <w:pPr>
        <w:pStyle w:val="Title"/>
      </w:pPr>
      <w:r>
        <w:fldChar w:fldCharType="begin"/>
      </w:r>
      <w:r>
        <w:instrText xml:space="preserve"> TITLE   \* MERGEFORMAT </w:instrText>
      </w:r>
      <w:r>
        <w:fldChar w:fldCharType="separate"/>
      </w:r>
      <w:r>
        <w:t>DEFFOR015 Conduct digital data search and analysis</w:t>
      </w:r>
      <w:r>
        <w:fldChar w:fldCharType="end"/>
      </w:r>
    </w:p>
    <w:p w:rsidR="00D20BBA" w:rsidP="00D20BBA">
      <w:pPr>
        <w:pStyle w:val="Version"/>
        <w:sectPr w:rsidSect="001A6C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C83" w:rsidP="001A6C83">
      <w:pPr>
        <w:pStyle w:val="SuperHeading"/>
      </w:pPr>
      <w:r w:rsidRPr="001A6C83">
        <w:t>DEFFOR015 Conduct digital data search and analysis</w:t>
      </w:r>
    </w:p>
    <w:p w:rsidR="00000000" w:rsidRPr="001A6C83" w:rsidP="001A6C83">
      <w:pPr>
        <w:pStyle w:val="Heading1"/>
      </w:pPr>
      <w:bookmarkStart w:id="1" w:name="O_1238639"/>
      <w:bookmarkEnd w:id="1"/>
      <w:r w:rsidRPr="001A6C83">
        <w:t>Modification History</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Release 1. This is the first release of this unit of competency in the DEF Defence Training Package.</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2" w:name="O_1238640"/>
      <w:bookmarkEnd w:id="2"/>
      <w:r w:rsidRPr="001A6C83">
        <w:t>Application</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 xml:space="preserve">This unit describes the skills and knowledge required to analyse digital data that has been </w:t>
            </w:r>
            <w:r w:rsidRPr="001A6C83">
              <w:t xml:space="preserve">acquired through a range of digital forensic methodologies. It includes analysing digital storage devices for artefacts that may become evidence. </w:t>
            </w:r>
          </w:p>
          <w:p w:rsidR="00000000" w:rsidRPr="001A6C83" w:rsidP="001A6C83">
            <w:pPr>
              <w:pStyle w:val="BodyText"/>
            </w:pPr>
            <w:r w:rsidRPr="001A6C83">
              <w:t>This unit applies to those working in the gathering and analysis of digital data.</w:t>
            </w:r>
          </w:p>
          <w:p w:rsidR="00000000" w:rsidRPr="001A6C83" w:rsidP="001A6C83">
            <w:pPr>
              <w:pStyle w:val="BodyText"/>
            </w:pPr>
            <w:r w:rsidRPr="001A6C83">
              <w:t>The skills and knowledge de</w:t>
            </w:r>
            <w:r w:rsidRPr="001A6C83">
              <w:t>scribed in this unit must be applied within the legislative, regulatory and policy environment in which they are carried out. Organisational policies and procedures must be consulted and adhered to, particularly those relating to work health and safety (WH</w:t>
            </w:r>
            <w:r w:rsidRPr="001A6C83">
              <w:t>S) and the conducting of digital data search and analysis.</w:t>
            </w:r>
          </w:p>
          <w:p w:rsidR="00000000" w:rsidRPr="001A6C83" w:rsidP="001A6C83">
            <w:pPr>
              <w:pStyle w:val="BodyText"/>
            </w:pPr>
            <w:r w:rsidRPr="001A6C83">
              <w:t>Those undertaking this unit would work independently, with minimal supervision, while performing complex tasks, including making complex judgements. They would use discretion and judgement and take</w:t>
            </w:r>
            <w:r w:rsidRPr="001A6C83">
              <w:t xml:space="preserve"> responsibility for the quality of their outputs.</w:t>
            </w:r>
          </w:p>
          <w:p w:rsidR="00000000" w:rsidRPr="001A6C83" w:rsidP="001A6C83">
            <w:pPr>
              <w:pStyle w:val="BodyText"/>
            </w:pPr>
            <w:r w:rsidRPr="001A6C83">
              <w:t>No licensing, legislative or certification requirements apply to unit at the time of publication.</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3" w:name="O_1238641"/>
      <w:bookmarkEnd w:id="3"/>
      <w:r w:rsidRPr="001A6C83">
        <w:t>Pre-requisite Unit</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Not applicable.</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4" w:name="O_1238642"/>
      <w:bookmarkEnd w:id="4"/>
      <w:r w:rsidRPr="001A6C83">
        <w:t>Competency Field</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Digital Forens</w:t>
            </w:r>
            <w:r w:rsidRPr="001A6C83">
              <w:t>ics.</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5" w:name="O_1238643"/>
      <w:bookmarkEnd w:id="5"/>
      <w:r w:rsidRPr="001A6C83">
        <w:t>Unit Sector</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Not applicable.</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6" w:name="O_1238644"/>
      <w:bookmarkEnd w:id="6"/>
      <w:r w:rsidRPr="001A6C83">
        <w:t>Elements and Performance Criteria</w:t>
      </w:r>
    </w:p>
    <w:tbl>
      <w:tblPr>
        <w:tblW w:w="9497" w:type="dxa"/>
        <w:tblLayout w:type="fixed"/>
        <w:tblCellMar>
          <w:left w:w="62" w:type="dxa"/>
          <w:right w:w="62" w:type="dxa"/>
        </w:tblCellMar>
        <w:tblLook w:val="0000"/>
      </w:tblPr>
      <w:tblGrid>
        <w:gridCol w:w="403"/>
        <w:gridCol w:w="2859"/>
        <w:gridCol w:w="697"/>
        <w:gridCol w:w="5538"/>
      </w:tblGrid>
      <w:tr w:rsidTr="001A6C83">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rPr>
                <w:rStyle w:val="SpecialBold"/>
              </w:rPr>
              <w:t>ELEMENTS</w:t>
            </w:r>
          </w:p>
        </w:tc>
        <w:tc>
          <w:tcPr>
            <w:tcW w:w="6235" w:type="dxa"/>
            <w:gridSpan w:val="2"/>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PERFORMANCE CRITERIA</w:t>
            </w:r>
          </w:p>
        </w:tc>
      </w:tr>
      <w:tr w:rsidTr="001A6C83">
        <w:tblPrEx>
          <w:tblW w:w="9497" w:type="dxa"/>
          <w:tblLayout w:type="fixed"/>
          <w:tblCellMar>
            <w:left w:w="62" w:type="dxa"/>
            <w:right w:w="62" w:type="dxa"/>
          </w:tblCellMar>
          <w:tblLook w:val="0000"/>
        </w:tblPrEx>
        <w:tc>
          <w:tcPr>
            <w:tcW w:w="3262" w:type="dxa"/>
            <w:gridSpan w:val="2"/>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Elements describe the essential outcomes.</w:t>
            </w:r>
          </w:p>
        </w:tc>
        <w:tc>
          <w:tcPr>
            <w:tcW w:w="6235" w:type="dxa"/>
            <w:gridSpan w:val="2"/>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Performance criteria describe the performance needed to demonstrate achievement of the element.</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rPr>
                <w:rStyle w:val="SpecialBold"/>
              </w:rPr>
              <w:t>1</w:t>
            </w:r>
          </w:p>
        </w:tc>
        <w:tc>
          <w:tcPr>
            <w:tcW w:w="2859"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rPr>
                <w:rStyle w:val="SpecialBold"/>
              </w:rPr>
              <w:t>Reduce and describe data</w:t>
            </w: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1.1</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Identify digital data to be analysed</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1.2</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 xml:space="preserve">Reduce the data, identify possible artefacts and describe these in a suitable form </w:t>
            </w:r>
            <w:r w:rsidRPr="001A6C83">
              <w:t>to support the development of interpretations</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1.3</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Decrypt data if appropriate</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1.4</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Review the reduction and description processes to determine their suitability for acquisition and analysis, and make improvements where necessary</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1.5</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Save data not used in the reduction and description processes for future reference</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rPr>
                <w:rStyle w:val="SpecialBold"/>
              </w:rPr>
              <w:t>2</w:t>
            </w:r>
          </w:p>
        </w:tc>
        <w:tc>
          <w:tcPr>
            <w:tcW w:w="2859"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rPr>
                <w:rStyle w:val="SpecialBold"/>
              </w:rPr>
              <w:t>Analyse and interpret data</w:t>
            </w: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2.1</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Interpret the data using deduction, induction and problem-solving techniques</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2.2</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Analyse digital storage devices for artefacts that may become evidence</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2.3</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Apply sound reasoning to ensure consistency of interpretations based on the data</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2.4</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Base interpretations on the factual quantitative and qualitative data</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2.5</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Develop a rec</w:t>
            </w:r>
            <w:r w:rsidRPr="001A6C83">
              <w:t>onstruction of events using analysis techniques</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rPr>
                <w:rStyle w:val="SpecialBold"/>
              </w:rPr>
              <w:t>3</w:t>
            </w:r>
          </w:p>
        </w:tc>
        <w:tc>
          <w:tcPr>
            <w:tcW w:w="2859"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rPr>
                <w:rStyle w:val="SpecialBold"/>
              </w:rPr>
              <w:t>Develop conclusions and recommendations</w:t>
            </w: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3.1</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Test and review possible interpretations to ensure they are credible and consistent with relevant data</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3.2</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Refine and consolidate interpretations to strengthen inferences drawn</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3.3</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Clearly state assumptions in the arguments leading to inferences</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3.4</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Formulate sound inferences, probable predictions, interpretations and/or explanations from facts and the te</w:t>
            </w:r>
            <w:r w:rsidRPr="001A6C83">
              <w:t>sted interpretations</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3.5</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Ensure transparency in the investigation process by formulating inferences through a clear chain of reasoning</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3.6</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Review inferences to identify and address any fallacies in reasoning</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3.7</w:t>
            </w:r>
          </w:p>
        </w:tc>
        <w:tc>
          <w:tcPr>
            <w:tcW w:w="5538"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Assess the relationship between the data developed and the probable interpretations to ensure validity and compliance, and report in accordance with organisational requirements</w:t>
            </w:r>
          </w:p>
        </w:tc>
      </w:tr>
      <w:tr w:rsidTr="001A6C83">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9" w:type="dxa"/>
            <w:tcBorders>
              <w:top w:val="nil"/>
              <w:left w:val="nil"/>
              <w:bottom w:val="nil"/>
              <w:right w:val="nil"/>
            </w:tcBorders>
            <w:tcMar>
              <w:top w:w="0" w:type="dxa"/>
              <w:left w:w="62" w:type="dxa"/>
              <w:bottom w:w="0" w:type="dxa"/>
              <w:right w:w="62" w:type="dxa"/>
            </w:tcMar>
          </w:tcPr>
          <w:p w:rsidR="00000000" w:rsidRPr="001A6C8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rPr>
                <w:rStyle w:val="SpecialBold"/>
              </w:rPr>
              <w:t>3.8</w:t>
            </w:r>
          </w:p>
        </w:tc>
        <w:tc>
          <w:tcPr>
            <w:tcW w:w="5538"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Develop and report conclusions and recommendations, addressing evidentia</w:t>
            </w:r>
            <w:r w:rsidRPr="001A6C83">
              <w:t>l requirements</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7" w:name="O_1238645"/>
      <w:bookmarkEnd w:id="7"/>
      <w:r w:rsidRPr="001A6C83">
        <w:t>Foundation Skills</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Foundation skills essential to performance are explicit in the performance criteria of this unit of competency.</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8" w:name="O_1238646"/>
      <w:bookmarkEnd w:id="8"/>
      <w:r w:rsidRPr="001A6C83">
        <w:t>Range of Conditions</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Range is restricted to essential operating conditions and any other variables essential to the work environment.</w:t>
            </w:r>
          </w:p>
          <w:p w:rsidR="00000000" w:rsidRPr="001A6C83" w:rsidP="001A6C83">
            <w:pPr>
              <w:pStyle w:val="BodyText"/>
            </w:pPr>
            <w:r w:rsidRPr="001A6C83">
              <w:t>Non-essential conditions may be found in the DEF Defence Training Package Companion Volume Implementation Guide.</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9" w:name="O_1238647"/>
      <w:bookmarkEnd w:id="9"/>
      <w:r w:rsidRPr="001A6C83">
        <w:t>Unit Mapp</w:t>
      </w:r>
      <w:r w:rsidRPr="001A6C83">
        <w:t>ing Information</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This unit supersedes and is equivalent to DEFFOR006 Conduct electronic data search and analysis.</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10" w:name="O_1238654"/>
      <w:bookmarkEnd w:id="10"/>
      <w:r w:rsidRPr="001A6C83">
        <w:t>Links</w:t>
      </w:r>
    </w:p>
    <w:p w:rsidR="00000000" w:rsidRPr="001A6C83" w:rsidP="00D20BBA">
      <w:pPr>
        <w:pStyle w:val="BodyText"/>
      </w:pPr>
      <w:r w:rsidRPr="001A6C8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795211">
        <w:rPr>
          <w:rStyle w:val="Hyperlink"/>
        </w:rPr>
        <w:t>https://vetnet.gov.au/Pages/TrainingDocs.aspx?q=6bdbab1e-11ed-4bc9-9cba-9e1a55d4e4a9</w:t>
      </w:r>
      <w:r>
        <w:fldChar w:fldCharType="end"/>
      </w:r>
    </w:p>
    <w:p w:rsidR="00000000" w:rsidRPr="001A6C83" w:rsidP="00D20BBA">
      <w:pPr>
        <w:pStyle w:val="BodyText"/>
        <w:sectPr w:rsidSect="001A6C83">
          <w:headerReference w:type="default" r:id="rId10"/>
          <w:footerReference w:type="default" r:id="rId11"/>
          <w:pgSz w:w="11908" w:h="16833"/>
          <w:pgMar w:top="1702" w:right="1418" w:bottom="1702" w:left="1418" w:header="992" w:footer="992" w:gutter="0"/>
          <w:cols w:space="720"/>
          <w:noEndnote/>
          <w:docGrid w:linePitch="299"/>
        </w:sectPr>
      </w:pPr>
    </w:p>
    <w:p w:rsidR="00000000" w:rsidRPr="001A6C83" w:rsidP="001A6C83">
      <w:pPr>
        <w:pStyle w:val="SuperHeading"/>
      </w:pPr>
      <w:r w:rsidRPr="001A6C83">
        <w:t>Assessment Requirements for DEFFOR015 Conduct digital data search and analysis</w:t>
      </w:r>
    </w:p>
    <w:p w:rsidR="00000000" w:rsidRPr="001A6C83" w:rsidP="001A6C83">
      <w:pPr>
        <w:pStyle w:val="Heading1"/>
      </w:pPr>
      <w:bookmarkStart w:id="11" w:name="O_1238649"/>
      <w:bookmarkEnd w:id="11"/>
      <w:r w:rsidRPr="001A6C83">
        <w:t>Modification History</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Release 1. This is the first release of this unit of competency in the DEF Defence Training Package.</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12" w:name="O_1238650"/>
      <w:bookmarkEnd w:id="12"/>
      <w:r w:rsidRPr="001A6C83">
        <w:t>Performance Evidence</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 xml:space="preserve">Evidence required to demonstrate competence in this unit must be relevant to and satisfy all of the requirements </w:t>
            </w:r>
            <w:r w:rsidRPr="001A6C83">
              <w:t xml:space="preserve">of the elements and performance criteria on at least one occasion and include: </w:t>
            </w:r>
          </w:p>
        </w:tc>
      </w:tr>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ListBullet"/>
            </w:pPr>
            <w:r w:rsidRPr="001A6C83">
              <w:t>analysing and evaluating data</w:t>
            </w:r>
          </w:p>
          <w:p w:rsidR="00000000" w:rsidRPr="001A6C83" w:rsidP="001A6C83">
            <w:pPr>
              <w:pStyle w:val="ListBullet"/>
            </w:pPr>
            <w:r w:rsidRPr="001A6C83">
              <w:t xml:space="preserve">applying reasoning processes using at least two of: </w:t>
            </w:r>
          </w:p>
          <w:p w:rsidR="00000000" w:rsidRPr="001A6C83" w:rsidP="001A6C83">
            <w:pPr>
              <w:pStyle w:val="ListBullet2"/>
            </w:pPr>
            <w:r w:rsidRPr="001A6C83">
              <w:t>inductive (interpreting raw information, identifying and testing trends or patterns)</w:t>
            </w:r>
          </w:p>
          <w:p w:rsidR="00000000" w:rsidRPr="001A6C83" w:rsidP="001A6C83">
            <w:pPr>
              <w:pStyle w:val="ListBullet2"/>
            </w:pPr>
            <w:r w:rsidRPr="001A6C83">
              <w:t>deductive (beginning with a hypothesis and testing it), lateral, critical or creative</w:t>
            </w:r>
          </w:p>
          <w:p w:rsidR="00000000" w:rsidRPr="001A6C83" w:rsidP="001A6C83">
            <w:pPr>
              <w:pStyle w:val="ListBullet2"/>
            </w:pPr>
            <w:r w:rsidRPr="001A6C83">
              <w:t>problem-solving techniques and decision making</w:t>
            </w:r>
          </w:p>
          <w:p w:rsidR="00000000" w:rsidRPr="001A6C83" w:rsidP="001A6C83">
            <w:pPr>
              <w:pStyle w:val="ListBullet"/>
            </w:pPr>
            <w:r w:rsidRPr="001A6C83">
              <w:t>conducting a digital data search using forensic hardware and software</w:t>
            </w:r>
          </w:p>
          <w:p w:rsidR="00000000" w:rsidRPr="001A6C83" w:rsidP="001A6C83">
            <w:pPr>
              <w:pStyle w:val="ListBullet"/>
            </w:pPr>
            <w:r w:rsidRPr="001A6C83">
              <w:t>communicating and negotiating</w:t>
            </w:r>
          </w:p>
          <w:p w:rsidR="00000000" w:rsidRPr="001A6C83" w:rsidP="001A6C83">
            <w:pPr>
              <w:pStyle w:val="ListBullet"/>
            </w:pPr>
            <w:r w:rsidRPr="001A6C83">
              <w:t>analysing and evaluati</w:t>
            </w:r>
            <w:r w:rsidRPr="001A6C83">
              <w:t>ng data</w:t>
            </w:r>
          </w:p>
          <w:p w:rsidR="00000000" w:rsidRPr="001A6C83" w:rsidP="001A6C83">
            <w:pPr>
              <w:pStyle w:val="ListBullet"/>
            </w:pPr>
            <w:r w:rsidRPr="001A6C83">
              <w:t>maximising the potential evidentiary value of the digital evidence</w:t>
            </w:r>
          </w:p>
          <w:p w:rsidR="00000000" w:rsidRPr="001A6C83" w:rsidP="001A6C83">
            <w:pPr>
              <w:pStyle w:val="ListBullet"/>
            </w:pPr>
            <w:r w:rsidRPr="001A6C83">
              <w:t>operating safely</w:t>
            </w:r>
          </w:p>
          <w:p w:rsidR="00000000" w:rsidRPr="001A6C83" w:rsidP="001A6C83">
            <w:pPr>
              <w:pStyle w:val="ListBullet"/>
            </w:pPr>
            <w:r w:rsidRPr="001A6C83">
              <w:t>preparing reports</w:t>
            </w:r>
          </w:p>
          <w:p w:rsidR="00000000" w:rsidRPr="001A6C83" w:rsidP="001A6C83">
            <w:pPr>
              <w:pStyle w:val="ListBullet"/>
            </w:pPr>
            <w:r w:rsidRPr="001A6C83">
              <w:t>reducing and describing data</w:t>
            </w:r>
          </w:p>
          <w:p w:rsidR="00000000" w:rsidRPr="001A6C83" w:rsidP="001A6C83">
            <w:pPr>
              <w:pStyle w:val="ListBullet"/>
            </w:pPr>
            <w:r w:rsidRPr="001A6C83">
              <w:t>using and interpreting the outcomes from different types of digital forensic tools</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13" w:name="O_1238651"/>
      <w:bookmarkEnd w:id="13"/>
      <w:r w:rsidRPr="001A6C83">
        <w:t>Knowledge Evidence</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6C83">
            <w:pPr>
              <w:pStyle w:val="BodyText"/>
              <w:rPr>
                <w:lang w:val="en-NZ"/>
              </w:rPr>
            </w:pPr>
            <w:r w:rsidRPr="001A6C83">
              <w:t xml:space="preserve">Evidence required to demonstrate competence in this unit must be relevant to and satisfy all of the requirements of the elements and performance criteria and include knowledge of: </w:t>
            </w:r>
          </w:p>
        </w:tc>
      </w:tr>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ListBullet"/>
            </w:pPr>
            <w:r w:rsidRPr="001A6C83">
              <w:t>analytical techniques appropriate for data analysis sy</w:t>
            </w:r>
            <w:r w:rsidRPr="001A6C83">
              <w:t>stems</w:t>
            </w:r>
          </w:p>
          <w:p w:rsidR="00000000" w:rsidRPr="001A6C83" w:rsidP="001A6C83">
            <w:pPr>
              <w:pStyle w:val="ListBullet"/>
            </w:pPr>
            <w:r w:rsidRPr="001A6C83">
              <w:t>available resources required to support the analysis process</w:t>
            </w:r>
          </w:p>
          <w:p w:rsidR="00000000" w:rsidRPr="001A6C83" w:rsidP="001A6C83">
            <w:pPr>
              <w:pStyle w:val="ListBullet"/>
            </w:pPr>
            <w:r w:rsidRPr="001A6C83">
              <w:t>digital operating and storage device theory, characteristics and operating mechanisms</w:t>
            </w:r>
          </w:p>
          <w:p w:rsidR="00000000" w:rsidRPr="001A6C83" w:rsidP="001A6C83">
            <w:pPr>
              <w:pStyle w:val="ListBullet"/>
            </w:pPr>
            <w:r w:rsidRPr="001A6C83">
              <w:t>evidentiary requirements</w:t>
            </w:r>
          </w:p>
          <w:p w:rsidR="00000000" w:rsidRPr="001A6C83" w:rsidP="001A6C83">
            <w:pPr>
              <w:pStyle w:val="ListBullet"/>
            </w:pPr>
            <w:r w:rsidRPr="001A6C83">
              <w:t>inductive/deductive reasoning processes</w:t>
            </w:r>
          </w:p>
          <w:p w:rsidR="00000000" w:rsidRPr="001A6C83" w:rsidP="001A6C83">
            <w:pPr>
              <w:pStyle w:val="ListBullet"/>
            </w:pPr>
            <w:r w:rsidRPr="001A6C83">
              <w:t>relevant laws, policies and procedures</w:t>
            </w:r>
          </w:p>
          <w:p w:rsidR="00000000" w:rsidRPr="001A6C83" w:rsidP="001A6C83">
            <w:pPr>
              <w:pStyle w:val="ListBullet"/>
            </w:pPr>
            <w:r w:rsidRPr="001A6C83">
              <w:t>security issues and classifications</w:t>
            </w:r>
          </w:p>
          <w:p w:rsidR="00000000" w:rsidRPr="001A6C83" w:rsidP="001A6C83">
            <w:pPr>
              <w:pStyle w:val="ListBullet"/>
            </w:pPr>
            <w:r w:rsidRPr="001A6C83">
              <w:t>the influence of human factors on data analysis</w:t>
            </w:r>
          </w:p>
          <w:p w:rsidR="00000000" w:rsidRPr="001A6C83" w:rsidP="001A6C83">
            <w:pPr>
              <w:pStyle w:val="ListBullet"/>
            </w:pPr>
            <w:r w:rsidRPr="001A6C83">
              <w:t>various types of digital forensic tools and their capabilities and limitations</w:t>
            </w:r>
          </w:p>
          <w:p w:rsidR="00000000" w:rsidRPr="001A6C83" w:rsidP="001A6C83">
            <w:pPr>
              <w:pStyle w:val="ListBullet"/>
            </w:pPr>
            <w:r w:rsidRPr="001A6C83">
              <w:t>work health and safety (WHS) practices t</w:t>
            </w:r>
            <w:r w:rsidRPr="001A6C83">
              <w:t>o be followed when conducting digital data search and analysis.</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14" w:name="O_1238652"/>
      <w:bookmarkEnd w:id="14"/>
      <w:r w:rsidRPr="001A6C83">
        <w:t>Assessment Conditions</w:t>
      </w:r>
    </w:p>
    <w:tbl>
      <w:tblPr>
        <w:tblW w:w="9497" w:type="dxa"/>
        <w:tblLayout w:type="fixed"/>
        <w:tblCellMar>
          <w:left w:w="62" w:type="dxa"/>
          <w:right w:w="62" w:type="dxa"/>
        </w:tblCellMar>
        <w:tblLook w:val="0000"/>
      </w:tblPr>
      <w:tblGrid>
        <w:gridCol w:w="9497"/>
      </w:tblGrid>
      <w:tr w:rsidTr="001A6C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6C83" w:rsidP="001A6C83">
            <w:pPr>
              <w:pStyle w:val="BodyText"/>
            </w:pPr>
            <w:r w:rsidRPr="001A6C83">
              <w:t>Assessors must hold credentials specified within the Standards for Registered Training Organisations current at the time of assessment.</w:t>
            </w:r>
          </w:p>
          <w:p w:rsidR="00000000" w:rsidRPr="001A6C83" w:rsidP="001A6C83">
            <w:pPr>
              <w:pStyle w:val="BodyText"/>
            </w:pPr>
            <w:r w:rsidRPr="001A6C83">
              <w:t>Assessment must satisfy the Principles of Assessment and Rules of Evidence and all regulatory requirements included within the Standards for Registered Training Organisations current at the time of assessment.</w:t>
            </w:r>
          </w:p>
          <w:p w:rsidR="00000000" w:rsidRPr="001A6C83" w:rsidP="001A6C83">
            <w:pPr>
              <w:pStyle w:val="BodyText"/>
            </w:pPr>
            <w:r w:rsidRPr="001A6C83">
              <w:t>Assessment must occur in workplace operational</w:t>
            </w:r>
            <w:r w:rsidRPr="001A6C83">
              <w:t xml:space="preserve"> situations. Where this is not appropriate, assessment must occur in simulated workplace operational situations that reflect workplace conditions.</w:t>
            </w:r>
          </w:p>
          <w:p w:rsidR="00000000" w:rsidRPr="001A6C83" w:rsidP="001A6C83">
            <w:pPr>
              <w:pStyle w:val="BodyText"/>
            </w:pPr>
            <w:r w:rsidRPr="001A6C83">
              <w:t>Assessment processes and techniques must be appropriate to the language, literacy and numeracy requirements o</w:t>
            </w:r>
            <w:r w:rsidRPr="001A6C83">
              <w:t>f the work being performed and the needs of the candidate.</w:t>
            </w:r>
          </w:p>
          <w:p w:rsidR="00000000" w:rsidRPr="001A6C83" w:rsidP="001A6C83">
            <w:pPr>
              <w:pStyle w:val="BodyText"/>
            </w:pPr>
            <w:r w:rsidRPr="001A6C83">
              <w:t>Resources for assessment must include access to:</w:t>
            </w:r>
          </w:p>
          <w:p w:rsidR="00000000" w:rsidRPr="001A6C83" w:rsidP="001A6C83">
            <w:pPr>
              <w:pStyle w:val="ListBullet"/>
            </w:pPr>
            <w:r w:rsidRPr="001A6C83">
              <w:t xml:space="preserve">a range of relevant exercises, case studies and/or simulations </w:t>
            </w:r>
          </w:p>
          <w:p w:rsidR="00000000" w:rsidRPr="001A6C83" w:rsidP="001A6C83">
            <w:pPr>
              <w:pStyle w:val="ListBullet"/>
            </w:pPr>
            <w:r w:rsidRPr="001A6C83">
              <w:t>applicable documentation, including workplace procedures, regulations, codes of pra</w:t>
            </w:r>
            <w:r w:rsidRPr="001A6C83">
              <w:t xml:space="preserve">ctice and operation manuals </w:t>
            </w:r>
          </w:p>
          <w:p w:rsidR="00000000" w:rsidRPr="001A6C83" w:rsidP="001A6C83">
            <w:pPr>
              <w:pStyle w:val="ListBullet"/>
            </w:pPr>
            <w:r w:rsidRPr="001A6C83">
              <w:t>relevant materials, tools, equipment and personal protective equipment (PPE) currently used in industry.</w:t>
            </w:r>
          </w:p>
        </w:tc>
      </w:tr>
    </w:tbl>
    <w:p w:rsidR="00000000" w:rsidRPr="001A6C83" w:rsidP="001A6C83">
      <w:pPr>
        <w:pStyle w:val="NoPaddingFontSize1"/>
      </w:pPr>
    </w:p>
    <w:p w:rsidR="00000000" w:rsidRPr="001A6C83" w:rsidP="001A6C83">
      <w:pPr>
        <w:pStyle w:val="AllowPageBreak"/>
      </w:pPr>
    </w:p>
    <w:p w:rsidR="00000000" w:rsidRPr="001A6C83" w:rsidP="001A6C83">
      <w:pPr>
        <w:pStyle w:val="Heading1"/>
      </w:pPr>
      <w:bookmarkStart w:id="15" w:name="O_1238655"/>
      <w:bookmarkEnd w:id="15"/>
      <w:r w:rsidRPr="001A6C83">
        <w:t>Links</w:t>
      </w:r>
    </w:p>
    <w:p w:rsidR="00000000" w:rsidRPr="001A6C83" w:rsidP="00D20BBA">
      <w:pPr>
        <w:pStyle w:val="BodyText"/>
      </w:pPr>
      <w:r w:rsidRPr="001A6C83">
        <w:t>Comp</w:t>
      </w:r>
      <w:r w:rsidRPr="001A6C83">
        <w:t xml:space="preserve">anion Volume Implementation Guides are found on VETNet - </w:t>
      </w:r>
      <w:r>
        <w:fldChar w:fldCharType="begin"/>
      </w:r>
      <w:r>
        <w:instrText xml:space="preserve"> HYPERLINK "https://vetnet.gov.au/Pages/TrainingDocs.aspx?q=6bdbab1e-11ed-4bc9-9cba-9e1a55d4e4a9" </w:instrText>
      </w:r>
      <w:r>
        <w:fldChar w:fldCharType="separate"/>
      </w:r>
      <w:r w:rsidRPr="00795211">
        <w:rPr>
          <w:rStyle w:val="Hyperlink"/>
        </w:rPr>
        <w:t>https://vetnet.gov.au/Pages/TrainingDocs.aspx?q=6bdbab1e-11ed-4bc9-9cba-9e1a55d4e4a9</w:t>
      </w:r>
      <w:r>
        <w:fldChar w:fldCharType="end"/>
      </w:r>
    </w:p>
    <w:p w:rsidR="00000000" w:rsidRPr="001A6C83" w:rsidP="001A6C83"/>
    <w:sectPr w:rsidSect="001A6C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83" w:rsidRPr="00D20BBA" w:rsidP="00D20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A" w:rsidP="001A6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BBA" w:rsidP="001A6C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20BBA" w:rsidP="001A6C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83" w:rsidP="001A6C83">
    <w:pPr>
      <w:pStyle w:val="Footer"/>
      <w:framePr w:wrap="around"/>
    </w:pPr>
    <w:r>
      <w:fldChar w:fldCharType="begin"/>
    </w:r>
    <w:r>
      <w:instrText xml:space="preserve"> DOCPROPERTY  Subject  \* MERGEFORMAT </w:instrText>
    </w:r>
    <w:r>
      <w:fldChar w:fldCharType="separate"/>
    </w:r>
    <w:r w:rsidR="00D20BBA">
      <w:t>Approved</w:t>
    </w:r>
    <w:r w:rsidR="00D20BBA">
      <w:fldChar w:fldCharType="end"/>
    </w:r>
    <w:r>
      <w:tab/>
      <w:t xml:space="preserve">Page </w:t>
    </w:r>
    <w:r>
      <w:fldChar w:fldCharType="begin"/>
    </w:r>
    <w:r>
      <w:instrText xml:space="preserve"> PAGE  \* Arabic  \* MERGEFORMAT </w:instrText>
    </w:r>
    <w:r>
      <w:fldChar w:fldCharType="separate"/>
    </w:r>
    <w:r w:rsidR="00D20B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BBA">
      <w:rPr>
        <w:noProof/>
      </w:rPr>
      <w:t>4</w:t>
    </w:r>
    <w:r>
      <w:rPr>
        <w:noProof/>
      </w:rPr>
      <w:fldChar w:fldCharType="end"/>
    </w:r>
  </w:p>
  <w:p w:rsidR="001A6C83" w:rsidP="001A6C83">
    <w:pPr>
      <w:pStyle w:val="Footer"/>
      <w:framePr w:wrap="around"/>
    </w:pPr>
    <w:r>
      <w:t xml:space="preserve">© Commonwealth of Australia, </w:t>
    </w:r>
    <w:r>
      <w:fldChar w:fldCharType="begin"/>
    </w:r>
    <w:r>
      <w:instrText xml:space="preserve"> DATE  \@ "yyyy"  \* MERGEFORMAT </w:instrText>
    </w:r>
    <w:r>
      <w:fldChar w:fldCharType="separate"/>
    </w:r>
    <w:r w:rsidR="00D20BBA">
      <w:rPr>
        <w:noProof/>
      </w:rPr>
      <w:t>2025</w:t>
    </w:r>
    <w:r>
      <w:fldChar w:fldCharType="end"/>
    </w:r>
    <w:r>
      <w:tab/>
    </w:r>
    <w:r>
      <w:fldChar w:fldCharType="begin"/>
    </w:r>
    <w:r>
      <w:instrText xml:space="preserve"> DOCPROPERTY  Author  \* MERGEFORMAT </w:instrText>
    </w:r>
    <w:r>
      <w:fldChar w:fldCharType="separate"/>
    </w:r>
    <w:r w:rsidR="00D20BBA">
      <w:t>Public Skills Australia</w:t>
    </w:r>
    <w:r w:rsidR="00D20BBA">
      <w:fldChar w:fldCharType="end"/>
    </w:r>
  </w:p>
  <w:p w:rsidR="001A6C83" w:rsidP="001A6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C83" w:rsidRPr="00D20BBA" w:rsidP="00D20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BBA" w:rsidRPr="002D2AF8" w:rsidP="001A6C83">
    <w:pPr>
      <w:pStyle w:val="Header"/>
      <w:framePr w:wrap="around"/>
    </w:pPr>
    <w:r>
      <w:fldChar w:fldCharType="begin"/>
    </w:r>
    <w:r>
      <w:instrText xml:space="preserve"> TITLE   \* MERGEFORMAT </w:instrText>
    </w:r>
    <w:r>
      <w:fldChar w:fldCharType="separate"/>
    </w:r>
    <w:r>
      <w:t>DEFFOR015 Conduct digital data 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0BBA" w:rsidP="001A6C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83" w:rsidRPr="002D2AF8" w:rsidP="001A6C83">
    <w:pPr>
      <w:pStyle w:val="Header"/>
      <w:framePr w:wrap="around"/>
    </w:pPr>
    <w:r>
      <w:fldChar w:fldCharType="begin"/>
    </w:r>
    <w:r>
      <w:instrText xml:space="preserve"> TITLE   \* MERGEFORMAT </w:instrText>
    </w:r>
    <w:r>
      <w:fldChar w:fldCharType="separate"/>
    </w:r>
    <w:r w:rsidR="00D20BBA">
      <w:t>DEFFOR015 Conduct digital data search and analysis</w:t>
    </w:r>
    <w:r w:rsidR="00D20BBA">
      <w:fldChar w:fldCharType="end"/>
    </w:r>
    <w:r>
      <w:tab/>
      <w:t xml:space="preserve">Date this document was generated: </w:t>
    </w:r>
    <w:r>
      <w:fldChar w:fldCharType="begin"/>
    </w:r>
    <w:r>
      <w:instrText xml:space="preserve"> CREATEDATE  \@ "d MMMM yyyy"  \* MERGEFORMAT </w:instrText>
    </w:r>
    <w:r>
      <w:fldChar w:fldCharType="separate"/>
    </w:r>
    <w:r w:rsidR="00D20BBA">
      <w:rPr>
        <w:noProof/>
      </w:rPr>
      <w:t>2 March 2025</w:t>
    </w:r>
    <w:r>
      <w:fldChar w:fldCharType="end"/>
    </w:r>
  </w:p>
  <w:p w:rsidR="001A6C83" w:rsidP="001A6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7C1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EA7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2AA8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C83"/>
    <w:pPr>
      <w:spacing w:before="360" w:after="60"/>
      <w:outlineLvl w:val="0"/>
    </w:pPr>
    <w:rPr>
      <w:sz w:val="32"/>
    </w:rPr>
  </w:style>
  <w:style w:type="paragraph" w:styleId="Heading2">
    <w:name w:val="heading 2"/>
    <w:basedOn w:val="HeadingBase"/>
    <w:next w:val="BodyText"/>
    <w:link w:val="Heading2Char"/>
    <w:qFormat/>
    <w:rsid w:val="001A6C83"/>
    <w:pPr>
      <w:keepLines/>
      <w:spacing w:before="240" w:after="120"/>
      <w:outlineLvl w:val="1"/>
    </w:pPr>
    <w:rPr>
      <w:sz w:val="28"/>
      <w:szCs w:val="40"/>
    </w:rPr>
  </w:style>
  <w:style w:type="paragraph" w:styleId="Heading3">
    <w:name w:val="heading 3"/>
    <w:basedOn w:val="HeadingBase"/>
    <w:next w:val="BodyText"/>
    <w:link w:val="Heading3Char"/>
    <w:qFormat/>
    <w:rsid w:val="001A6C83"/>
    <w:pPr>
      <w:spacing w:before="180" w:after="120"/>
      <w:outlineLvl w:val="2"/>
    </w:pPr>
    <w:rPr>
      <w:spacing w:val="-10"/>
      <w:kern w:val="32"/>
    </w:rPr>
  </w:style>
  <w:style w:type="paragraph" w:styleId="Heading4">
    <w:name w:val="heading 4"/>
    <w:basedOn w:val="HeadingBase"/>
    <w:next w:val="BodyText"/>
    <w:link w:val="Heading4Char"/>
    <w:qFormat/>
    <w:rsid w:val="001A6C83"/>
    <w:pPr>
      <w:spacing w:before="160" w:after="120"/>
      <w:outlineLvl w:val="3"/>
    </w:pPr>
    <w:rPr>
      <w:sz w:val="22"/>
    </w:rPr>
  </w:style>
  <w:style w:type="paragraph" w:styleId="Heading5">
    <w:name w:val="heading 5"/>
    <w:basedOn w:val="HeadingBase"/>
    <w:next w:val="Normal"/>
    <w:link w:val="Heading5Char"/>
    <w:qFormat/>
    <w:rsid w:val="001A6C83"/>
    <w:pPr>
      <w:spacing w:before="80"/>
      <w:outlineLvl w:val="4"/>
    </w:pPr>
    <w:rPr>
      <w:color w:val="918585"/>
      <w:sz w:val="20"/>
    </w:rPr>
  </w:style>
  <w:style w:type="paragraph" w:styleId="Heading6">
    <w:name w:val="heading 6"/>
    <w:basedOn w:val="HeadingBase"/>
    <w:next w:val="Normal"/>
    <w:link w:val="Heading6Char"/>
    <w:qFormat/>
    <w:rsid w:val="001A6C83"/>
    <w:pPr>
      <w:spacing w:before="60"/>
      <w:outlineLvl w:val="5"/>
    </w:pPr>
    <w:rPr>
      <w:color w:val="918585"/>
      <w:sz w:val="20"/>
    </w:rPr>
  </w:style>
  <w:style w:type="paragraph" w:styleId="Heading7">
    <w:name w:val="heading 7"/>
    <w:basedOn w:val="Normal"/>
    <w:next w:val="Normal"/>
    <w:link w:val="Heading7Char"/>
    <w:qFormat/>
    <w:rsid w:val="001A6C83"/>
    <w:pPr>
      <w:ind w:left="720"/>
      <w:outlineLvl w:val="6"/>
    </w:pPr>
    <w:rPr>
      <w:i/>
    </w:rPr>
  </w:style>
  <w:style w:type="paragraph" w:styleId="Heading8">
    <w:name w:val="heading 8"/>
    <w:basedOn w:val="Normal"/>
    <w:next w:val="Normal"/>
    <w:link w:val="Heading8Char"/>
    <w:qFormat/>
    <w:rsid w:val="001A6C83"/>
    <w:pPr>
      <w:ind w:left="720"/>
      <w:outlineLvl w:val="7"/>
    </w:pPr>
    <w:rPr>
      <w:i/>
    </w:rPr>
  </w:style>
  <w:style w:type="paragraph" w:styleId="Heading9">
    <w:name w:val="heading 9"/>
    <w:basedOn w:val="Normal"/>
    <w:next w:val="Normal"/>
    <w:link w:val="Heading9Char"/>
    <w:qFormat/>
    <w:rsid w:val="001A6C83"/>
    <w:pPr>
      <w:ind w:left="720"/>
      <w:outlineLvl w:val="8"/>
    </w:pPr>
    <w:rPr>
      <w:i/>
    </w:rPr>
  </w:style>
  <w:style w:type="character" w:default="1" w:styleId="DefaultParagraphFont">
    <w:name w:val="Default Paragraph Font"/>
    <w:uiPriority w:val="1"/>
    <w:unhideWhenUsed/>
    <w:rsid w:val="001A6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C83"/>
  </w:style>
  <w:style w:type="character" w:customStyle="1" w:styleId="Heading1Char">
    <w:name w:val="Heading 1 Char"/>
    <w:basedOn w:val="DefaultParagraphFont"/>
    <w:link w:val="Heading1"/>
    <w:rsid w:val="001A6C83"/>
    <w:rPr>
      <w:rFonts w:ascii="Times New Roman" w:eastAsia="Times New Roman" w:hAnsi="Times New Roman" w:cs="Times New Roman"/>
      <w:b/>
      <w:sz w:val="32"/>
      <w:szCs w:val="20"/>
      <w:lang w:eastAsia="en-US"/>
    </w:rPr>
  </w:style>
  <w:style w:type="paragraph" w:styleId="BodyText">
    <w:name w:val="Body Text"/>
    <w:basedOn w:val="Normal"/>
    <w:link w:val="BodyTextChar"/>
    <w:rsid w:val="001A6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C83"/>
    <w:rPr>
      <w:rFonts w:ascii="Times New Roman" w:eastAsia="Times New Roman" w:hAnsi="Times New Roman" w:cs="Times New Roman"/>
      <w:sz w:val="24"/>
      <w:lang w:eastAsia="en-US"/>
    </w:rPr>
  </w:style>
  <w:style w:type="paragraph" w:styleId="ListBullet">
    <w:name w:val="List Bullet"/>
    <w:basedOn w:val="List"/>
    <w:rsid w:val="001A6C83"/>
    <w:pPr>
      <w:numPr>
        <w:numId w:val="12"/>
      </w:numPr>
      <w:tabs>
        <w:tab w:val="clear" w:pos="340"/>
      </w:tabs>
      <w:spacing w:before="40" w:after="40"/>
    </w:pPr>
  </w:style>
  <w:style w:type="character" w:customStyle="1" w:styleId="SpecialBold">
    <w:name w:val="Special Bold"/>
    <w:basedOn w:val="DefaultParagraphFont"/>
    <w:rsid w:val="001A6C83"/>
    <w:rPr>
      <w:b/>
      <w:spacing w:val="0"/>
    </w:rPr>
  </w:style>
  <w:style w:type="paragraph" w:styleId="ListBullet2">
    <w:name w:val="List Bullet 2"/>
    <w:basedOn w:val="List2"/>
    <w:rsid w:val="001A6C83"/>
    <w:pPr>
      <w:numPr>
        <w:numId w:val="13"/>
      </w:numPr>
      <w:tabs>
        <w:tab w:val="clear" w:pos="680"/>
      </w:tabs>
    </w:pPr>
  </w:style>
  <w:style w:type="paragraph" w:customStyle="1" w:styleId="SuperHeading">
    <w:name w:val="SuperHeading"/>
    <w:basedOn w:val="Normal"/>
    <w:rsid w:val="001A6C83"/>
    <w:pPr>
      <w:spacing w:before="240" w:after="120"/>
      <w:outlineLvl w:val="0"/>
    </w:pPr>
    <w:rPr>
      <w:rFonts w:ascii="Times New Roman" w:hAnsi="Times New Roman"/>
      <w:b/>
      <w:sz w:val="32"/>
    </w:rPr>
  </w:style>
  <w:style w:type="paragraph" w:customStyle="1" w:styleId="AllowPageBreak">
    <w:name w:val="AllowPageBreak"/>
    <w:rsid w:val="001A6C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6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C83"/>
    <w:rPr>
      <w:rFonts w:ascii="Courier New" w:eastAsia="Times New Roman" w:hAnsi="Courier New" w:cs="Times New Roman"/>
      <w:i/>
      <w:szCs w:val="20"/>
      <w:lang w:eastAsia="en-US"/>
    </w:rPr>
  </w:style>
  <w:style w:type="paragraph" w:customStyle="1" w:styleId="HeadingBase">
    <w:name w:val="Heading Base"/>
    <w:rsid w:val="001A6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C83"/>
    <w:pPr>
      <w:tabs>
        <w:tab w:val="right" w:leader="dot" w:pos="9072"/>
      </w:tabs>
      <w:ind w:left="567"/>
    </w:pPr>
    <w:rPr>
      <w:szCs w:val="22"/>
    </w:rPr>
  </w:style>
  <w:style w:type="paragraph" w:customStyle="1" w:styleId="TOCBase">
    <w:name w:val="TOC Base"/>
    <w:rsid w:val="001A6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C83"/>
    <w:pPr>
      <w:tabs>
        <w:tab w:val="right" w:leader="dot" w:pos="9072"/>
      </w:tabs>
      <w:spacing w:before="40" w:after="40"/>
      <w:ind w:left="284"/>
    </w:pPr>
    <w:rPr>
      <w:rFonts w:ascii="Times New Roman" w:hAnsi="Times New Roman"/>
    </w:rPr>
  </w:style>
  <w:style w:type="paragraph" w:styleId="TOC1">
    <w:name w:val="toc 1"/>
    <w:basedOn w:val="TOCBase"/>
    <w:next w:val="Normal"/>
    <w:rsid w:val="001A6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C83"/>
    <w:rPr>
      <w:rFonts w:ascii="Times New Roman" w:eastAsia="Times New Roman" w:hAnsi="Times New Roman" w:cs="Times New Roman"/>
      <w:sz w:val="16"/>
      <w:lang w:eastAsia="en-US"/>
    </w:rPr>
  </w:style>
  <w:style w:type="paragraph" w:styleId="Title">
    <w:name w:val="Title"/>
    <w:basedOn w:val="HeadingBase"/>
    <w:link w:val="TitleChar"/>
    <w:qFormat/>
    <w:rsid w:val="001A6C83"/>
    <w:pPr>
      <w:spacing w:before="5040"/>
      <w:jc w:val="center"/>
    </w:pPr>
    <w:rPr>
      <w:sz w:val="48"/>
      <w:szCs w:val="72"/>
      <w:lang w:val="en-US"/>
    </w:rPr>
  </w:style>
  <w:style w:type="character" w:customStyle="1" w:styleId="TitleChar">
    <w:name w:val="Title Char"/>
    <w:basedOn w:val="DefaultParagraphFont"/>
    <w:link w:val="Title"/>
    <w:rsid w:val="001A6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C83"/>
    <w:pPr>
      <w:tabs>
        <w:tab w:val="left" w:pos="3600"/>
        <w:tab w:val="left" w:pos="3958"/>
      </w:tabs>
    </w:pPr>
  </w:style>
  <w:style w:type="paragraph" w:styleId="List">
    <w:name w:val="List"/>
    <w:basedOn w:val="BodyText"/>
    <w:next w:val="BodyText"/>
    <w:rsid w:val="001A6C83"/>
    <w:pPr>
      <w:tabs>
        <w:tab w:val="left" w:pos="340"/>
      </w:tabs>
      <w:spacing w:before="60" w:after="60"/>
      <w:ind w:left="340" w:hanging="340"/>
    </w:pPr>
  </w:style>
  <w:style w:type="paragraph" w:customStyle="1" w:styleId="Note">
    <w:name w:val="Note"/>
    <w:basedOn w:val="BodyText"/>
    <w:rsid w:val="001A6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C83"/>
    <w:pPr>
      <w:framePr w:wrap="auto" w:hAnchor="text" w:y="6049"/>
    </w:pPr>
    <w:rPr>
      <w:color w:val="000000"/>
      <w:sz w:val="40"/>
    </w:rPr>
  </w:style>
  <w:style w:type="paragraph" w:customStyle="1" w:styleId="TOCTitle">
    <w:name w:val="TOCTitle"/>
    <w:basedOn w:val="Heading1"/>
    <w:rsid w:val="001A6C83"/>
    <w:pPr>
      <w:spacing w:after="240"/>
      <w:jc w:val="center"/>
      <w:outlineLvl w:val="9"/>
    </w:pPr>
    <w:rPr>
      <w:caps/>
    </w:rPr>
  </w:style>
  <w:style w:type="paragraph" w:customStyle="1" w:styleId="Version">
    <w:name w:val="Version"/>
    <w:rsid w:val="001A6C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C83"/>
    <w:pPr>
      <w:keepNext w:val="0"/>
      <w:tabs>
        <w:tab w:val="right" w:pos="4176"/>
      </w:tabs>
      <w:ind w:left="198" w:hanging="198"/>
    </w:pPr>
    <w:rPr>
      <w:rFonts w:ascii="Garamond" w:hAnsi="Garamond"/>
    </w:rPr>
  </w:style>
  <w:style w:type="paragraph" w:styleId="IndexHeading">
    <w:name w:val="index heading"/>
    <w:basedOn w:val="Normal"/>
    <w:next w:val="Index1"/>
    <w:semiHidden/>
    <w:rsid w:val="001A6C83"/>
    <w:pPr>
      <w:spacing w:before="120" w:after="120"/>
    </w:pPr>
    <w:rPr>
      <w:rFonts w:ascii="Arial" w:hAnsi="Arial"/>
      <w:b/>
      <w:color w:val="918585"/>
      <w:sz w:val="24"/>
    </w:rPr>
  </w:style>
  <w:style w:type="paragraph" w:styleId="Header">
    <w:name w:val="header"/>
    <w:basedOn w:val="Normal"/>
    <w:link w:val="HeaderChar"/>
    <w:rsid w:val="001A6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C83"/>
    <w:rPr>
      <w:rFonts w:ascii="Times New Roman" w:eastAsia="Times New Roman" w:hAnsi="Times New Roman" w:cs="Times New Roman"/>
      <w:sz w:val="16"/>
      <w:szCs w:val="20"/>
      <w:lang w:val="en-GB" w:eastAsia="en-US"/>
    </w:rPr>
  </w:style>
  <w:style w:type="paragraph" w:customStyle="1" w:styleId="Chapter">
    <w:name w:val="Chapter"/>
    <w:basedOn w:val="Normal"/>
    <w:rsid w:val="001A6C83"/>
    <w:pPr>
      <w:spacing w:before="240"/>
    </w:pPr>
    <w:rPr>
      <w:rFonts w:ascii="Times New Roman" w:hAnsi="Times New Roman"/>
      <w:smallCaps/>
      <w:spacing w:val="80"/>
      <w:sz w:val="28"/>
    </w:rPr>
  </w:style>
  <w:style w:type="paragraph" w:customStyle="1" w:styleId="InChapter">
    <w:name w:val="InChapter"/>
    <w:basedOn w:val="Heading3"/>
    <w:rsid w:val="001A6C83"/>
    <w:pPr>
      <w:spacing w:after="240"/>
      <w:outlineLvl w:val="9"/>
    </w:pPr>
    <w:rPr>
      <w:noProof/>
    </w:rPr>
  </w:style>
  <w:style w:type="paragraph" w:styleId="Index2">
    <w:name w:val="index 2"/>
    <w:basedOn w:val="Normal"/>
    <w:next w:val="Normal"/>
    <w:semiHidden/>
    <w:rsid w:val="001A6C83"/>
    <w:pPr>
      <w:tabs>
        <w:tab w:val="right" w:pos="4176"/>
      </w:tabs>
      <w:ind w:left="568" w:hanging="284"/>
    </w:pPr>
    <w:rPr>
      <w:rFonts w:ascii="Garamond" w:hAnsi="Garamond"/>
    </w:rPr>
  </w:style>
  <w:style w:type="paragraph" w:customStyle="1" w:styleId="Byline">
    <w:name w:val="Byline"/>
    <w:rsid w:val="001A6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C83"/>
    <w:pPr>
      <w:tabs>
        <w:tab w:val="clear" w:pos="3600"/>
        <w:tab w:val="clear" w:pos="3958"/>
      </w:tabs>
      <w:jc w:val="right"/>
    </w:pPr>
  </w:style>
  <w:style w:type="character" w:styleId="Emphasis">
    <w:name w:val="Emphasis"/>
    <w:basedOn w:val="DefaultParagraphFont"/>
    <w:qFormat/>
    <w:rsid w:val="001A6C83"/>
    <w:rPr>
      <w:i/>
    </w:rPr>
  </w:style>
  <w:style w:type="paragraph" w:styleId="Caption">
    <w:name w:val="caption"/>
    <w:basedOn w:val="BodyText"/>
    <w:next w:val="Normal"/>
    <w:qFormat/>
    <w:rsid w:val="001A6C83"/>
    <w:pPr>
      <w:framePr w:w="2268" w:hSpace="181" w:vSpace="181" w:wrap="around" w:vAnchor="text" w:hAnchor="page" w:x="1135" w:y="285" w:anchorLock="1"/>
    </w:pPr>
    <w:rPr>
      <w:i/>
    </w:rPr>
  </w:style>
  <w:style w:type="paragraph" w:customStyle="1" w:styleId="MiniTOCTitle">
    <w:name w:val="MiniTOCTitle"/>
    <w:basedOn w:val="Heading4"/>
    <w:rsid w:val="001A6C83"/>
    <w:pPr>
      <w:spacing w:before="240"/>
      <w:outlineLvl w:val="9"/>
    </w:pPr>
    <w:rPr>
      <w:noProof/>
      <w:sz w:val="24"/>
    </w:rPr>
  </w:style>
  <w:style w:type="paragraph" w:customStyle="1" w:styleId="MiniTOCItem">
    <w:name w:val="MiniTOCItem"/>
    <w:basedOn w:val="ListBullet"/>
    <w:rsid w:val="001A6C83"/>
    <w:pPr>
      <w:numPr>
        <w:numId w:val="0"/>
      </w:numPr>
      <w:tabs>
        <w:tab w:val="right" w:leader="dot" w:pos="6521"/>
      </w:tabs>
      <w:spacing w:before="0" w:after="0"/>
    </w:pPr>
  </w:style>
  <w:style w:type="paragraph" w:customStyle="1" w:styleId="TOFTitle">
    <w:name w:val="TOFTitle"/>
    <w:basedOn w:val="TOCTitle"/>
    <w:rsid w:val="001A6C83"/>
  </w:style>
  <w:style w:type="paragraph" w:styleId="TableofFigures">
    <w:name w:val="table of figures"/>
    <w:basedOn w:val="Normal"/>
    <w:next w:val="Normal"/>
    <w:semiHidden/>
    <w:rsid w:val="001A6C83"/>
    <w:pPr>
      <w:tabs>
        <w:tab w:val="right" w:leader="dot" w:pos="9072"/>
      </w:tabs>
      <w:ind w:left="970" w:hanging="403"/>
    </w:pPr>
    <w:rPr>
      <w:rFonts w:ascii="Times New Roman" w:hAnsi="Times New Roman"/>
      <w:b/>
    </w:rPr>
  </w:style>
  <w:style w:type="paragraph" w:styleId="ListNumber">
    <w:name w:val="List Number"/>
    <w:basedOn w:val="List"/>
    <w:rsid w:val="001A6C83"/>
    <w:pPr>
      <w:numPr>
        <w:numId w:val="15"/>
      </w:numPr>
      <w:tabs>
        <w:tab w:val="clear" w:pos="340"/>
      </w:tabs>
    </w:pPr>
  </w:style>
  <w:style w:type="character" w:customStyle="1" w:styleId="WingdingSymbols">
    <w:name w:val="Wingding Symbols"/>
    <w:rsid w:val="001A6C83"/>
    <w:rPr>
      <w:rFonts w:ascii="Wingdings" w:hAnsi="Wingdings"/>
    </w:rPr>
  </w:style>
  <w:style w:type="paragraph" w:customStyle="1" w:styleId="TableHeading">
    <w:name w:val="Table Heading"/>
    <w:basedOn w:val="HeadingBase"/>
    <w:rsid w:val="001A6C83"/>
    <w:pPr>
      <w:keepLines/>
      <w:pBdr>
        <w:bottom w:val="single" w:sz="6" w:space="1" w:color="918585"/>
      </w:pBdr>
      <w:spacing w:before="240"/>
    </w:pPr>
  </w:style>
  <w:style w:type="character" w:customStyle="1" w:styleId="HotSpot">
    <w:name w:val="HotSpot"/>
    <w:rsid w:val="001A6C83"/>
    <w:rPr>
      <w:color w:val="0033CC"/>
      <w:u w:val="none"/>
    </w:rPr>
  </w:style>
  <w:style w:type="paragraph" w:customStyle="1" w:styleId="BodyTextRight">
    <w:name w:val="Body Text Right"/>
    <w:basedOn w:val="BodyText"/>
    <w:rsid w:val="001A6C83"/>
    <w:pPr>
      <w:spacing w:before="0" w:after="0"/>
      <w:jc w:val="right"/>
    </w:pPr>
  </w:style>
  <w:style w:type="paragraph" w:styleId="Index3">
    <w:name w:val="index 3"/>
    <w:basedOn w:val="ListNumber2"/>
    <w:next w:val="Normal"/>
    <w:semiHidden/>
    <w:rsid w:val="001A6C83"/>
    <w:pPr>
      <w:numPr>
        <w:numId w:val="0"/>
      </w:numPr>
      <w:tabs>
        <w:tab w:val="right" w:leader="dot" w:pos="4176"/>
      </w:tabs>
    </w:pPr>
  </w:style>
  <w:style w:type="paragraph" w:styleId="ListNumber2">
    <w:name w:val="List Number 2"/>
    <w:basedOn w:val="List2"/>
    <w:rsid w:val="001A6C83"/>
    <w:pPr>
      <w:numPr>
        <w:numId w:val="10"/>
      </w:numPr>
      <w:tabs>
        <w:tab w:val="clear" w:pos="1060"/>
      </w:tabs>
    </w:pPr>
  </w:style>
  <w:style w:type="paragraph" w:customStyle="1" w:styleId="MarginNote">
    <w:name w:val="Margin Note"/>
    <w:basedOn w:val="BodyText"/>
    <w:rsid w:val="001A6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C83"/>
    <w:rPr>
      <w:sz w:val="32"/>
    </w:rPr>
  </w:style>
  <w:style w:type="paragraph" w:customStyle="1" w:styleId="HeadingProcedure">
    <w:name w:val="Heading Procedure"/>
    <w:basedOn w:val="HeadingBase"/>
    <w:next w:val="Normal"/>
    <w:rsid w:val="001A6C83"/>
    <w:pPr>
      <w:tabs>
        <w:tab w:val="left" w:pos="0"/>
      </w:tabs>
      <w:spacing w:before="120" w:after="60"/>
    </w:pPr>
    <w:rPr>
      <w:i/>
      <w:color w:val="918585"/>
      <w:sz w:val="22"/>
    </w:rPr>
  </w:style>
  <w:style w:type="paragraph" w:customStyle="1" w:styleId="TableBodyText">
    <w:name w:val="Table Body Text"/>
    <w:basedOn w:val="BodyText"/>
    <w:rsid w:val="001A6C83"/>
    <w:pPr>
      <w:spacing w:before="60" w:after="60"/>
    </w:pPr>
  </w:style>
  <w:style w:type="paragraph" w:styleId="ListContinue">
    <w:name w:val="List Continue"/>
    <w:basedOn w:val="List"/>
    <w:rsid w:val="001A6C83"/>
    <w:pPr>
      <w:ind w:firstLine="0"/>
    </w:pPr>
  </w:style>
  <w:style w:type="paragraph" w:customStyle="1" w:styleId="ListNote">
    <w:name w:val="List Note"/>
    <w:basedOn w:val="List"/>
    <w:rsid w:val="001A6C83"/>
    <w:pPr>
      <w:pBdr>
        <w:top w:val="single" w:sz="6" w:space="2" w:color="918585"/>
        <w:bottom w:val="single" w:sz="6" w:space="2" w:color="918585"/>
      </w:pBdr>
      <w:tabs>
        <w:tab w:val="left" w:pos="1021"/>
      </w:tabs>
      <w:ind w:firstLine="0"/>
    </w:pPr>
  </w:style>
  <w:style w:type="paragraph" w:customStyle="1" w:styleId="Warning">
    <w:name w:val="Warning"/>
    <w:basedOn w:val="BodyText"/>
    <w:rsid w:val="001A6C83"/>
    <w:pPr>
      <w:shd w:val="clear" w:color="auto" w:fill="D9D9D9"/>
      <w:tabs>
        <w:tab w:val="left" w:pos="992"/>
      </w:tabs>
      <w:ind w:left="119" w:right="119"/>
    </w:pPr>
    <w:rPr>
      <w:sz w:val="20"/>
    </w:rPr>
  </w:style>
  <w:style w:type="paragraph" w:customStyle="1" w:styleId="MarginIcons">
    <w:name w:val="Margin Icons"/>
    <w:basedOn w:val="BodyText"/>
    <w:rsid w:val="001A6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C83"/>
    <w:rPr>
      <w:rFonts w:ascii="Courier New" w:hAnsi="Courier New"/>
    </w:rPr>
  </w:style>
  <w:style w:type="paragraph" w:customStyle="1" w:styleId="NoteBullet">
    <w:name w:val="Note Bullet"/>
    <w:basedOn w:val="Note"/>
    <w:rsid w:val="001A6C83"/>
    <w:pPr>
      <w:tabs>
        <w:tab w:val="clear" w:pos="680"/>
      </w:tabs>
      <w:spacing w:before="60" w:after="60"/>
    </w:pPr>
  </w:style>
  <w:style w:type="paragraph" w:customStyle="1" w:styleId="SubHeading2">
    <w:name w:val="SubHeading2"/>
    <w:basedOn w:val="HeadingBase"/>
    <w:rsid w:val="001A6C83"/>
    <w:pPr>
      <w:spacing w:before="240" w:after="60"/>
    </w:pPr>
    <w:rPr>
      <w:sz w:val="20"/>
    </w:rPr>
  </w:style>
  <w:style w:type="paragraph" w:customStyle="1" w:styleId="SubHeading1">
    <w:name w:val="SubHeading1"/>
    <w:basedOn w:val="HeadingBase"/>
    <w:rsid w:val="001A6C83"/>
    <w:pPr>
      <w:spacing w:before="240" w:after="60"/>
    </w:pPr>
    <w:rPr>
      <w:color w:val="918585"/>
      <w:sz w:val="22"/>
    </w:rPr>
  </w:style>
  <w:style w:type="paragraph" w:customStyle="1" w:styleId="SideHeading">
    <w:name w:val="Side Heading"/>
    <w:basedOn w:val="HeadingBase"/>
    <w:rsid w:val="001A6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C83"/>
    <w:pPr>
      <w:tabs>
        <w:tab w:val="num" w:pos="360"/>
      </w:tabs>
    </w:pPr>
  </w:style>
  <w:style w:type="paragraph" w:styleId="PlainText">
    <w:name w:val="Plain Text"/>
    <w:basedOn w:val="Normal"/>
    <w:link w:val="PlainTextChar"/>
    <w:rsid w:val="001A6C83"/>
    <w:rPr>
      <w:sz w:val="20"/>
    </w:rPr>
  </w:style>
  <w:style w:type="character" w:customStyle="1" w:styleId="PlainTextChar">
    <w:name w:val="Plain Text Char"/>
    <w:basedOn w:val="DefaultParagraphFont"/>
    <w:link w:val="PlainText"/>
    <w:rsid w:val="001A6C83"/>
    <w:rPr>
      <w:rFonts w:ascii="Courier New" w:eastAsia="Times New Roman" w:hAnsi="Courier New" w:cs="Times New Roman"/>
      <w:sz w:val="20"/>
      <w:szCs w:val="20"/>
      <w:lang w:eastAsia="en-US"/>
    </w:rPr>
  </w:style>
  <w:style w:type="character" w:customStyle="1" w:styleId="MenuOption">
    <w:name w:val="Menu Option"/>
    <w:basedOn w:val="DefaultParagraphFont"/>
    <w:rsid w:val="001A6C83"/>
    <w:rPr>
      <w:b/>
      <w:smallCaps/>
    </w:rPr>
  </w:style>
  <w:style w:type="paragraph" w:customStyle="1" w:styleId="TableListNumber">
    <w:name w:val="Table List Number"/>
    <w:basedOn w:val="ListNumber"/>
    <w:rsid w:val="001A6C83"/>
    <w:pPr>
      <w:numPr>
        <w:numId w:val="0"/>
      </w:numPr>
    </w:pPr>
  </w:style>
  <w:style w:type="paragraph" w:styleId="TOC4">
    <w:name w:val="toc 4"/>
    <w:basedOn w:val="TOCBase"/>
    <w:next w:val="Normal"/>
    <w:semiHidden/>
    <w:rsid w:val="001A6C83"/>
    <w:pPr>
      <w:tabs>
        <w:tab w:val="right" w:leader="dot" w:pos="9071"/>
      </w:tabs>
      <w:ind w:left="1701"/>
    </w:pPr>
  </w:style>
  <w:style w:type="paragraph" w:customStyle="1" w:styleId="ListAlpha">
    <w:name w:val="List Alpha"/>
    <w:basedOn w:val="List"/>
    <w:rsid w:val="001A6C83"/>
    <w:pPr>
      <w:numPr>
        <w:numId w:val="9"/>
      </w:numPr>
    </w:pPr>
  </w:style>
  <w:style w:type="paragraph" w:customStyle="1" w:styleId="ListAlpha2">
    <w:name w:val="List Alpha 2"/>
    <w:basedOn w:val="List2"/>
    <w:rsid w:val="001A6C83"/>
    <w:pPr>
      <w:numPr>
        <w:numId w:val="8"/>
      </w:numPr>
    </w:pPr>
  </w:style>
  <w:style w:type="paragraph" w:styleId="List2">
    <w:name w:val="List 2"/>
    <w:basedOn w:val="BodyText"/>
    <w:rsid w:val="001A6C83"/>
    <w:pPr>
      <w:tabs>
        <w:tab w:val="left" w:pos="680"/>
      </w:tabs>
      <w:spacing w:before="60" w:after="60"/>
      <w:ind w:left="680" w:hanging="340"/>
    </w:pPr>
  </w:style>
  <w:style w:type="paragraph" w:styleId="List3">
    <w:name w:val="List 3"/>
    <w:basedOn w:val="BodyText"/>
    <w:rsid w:val="001A6C83"/>
    <w:pPr>
      <w:tabs>
        <w:tab w:val="left" w:pos="1021"/>
      </w:tabs>
      <w:spacing w:before="60" w:after="60"/>
      <w:ind w:left="1020" w:hanging="340"/>
    </w:pPr>
  </w:style>
  <w:style w:type="paragraph" w:styleId="List4">
    <w:name w:val="List 4"/>
    <w:basedOn w:val="BodyText"/>
    <w:rsid w:val="001A6C83"/>
    <w:pPr>
      <w:tabs>
        <w:tab w:val="left" w:pos="1361"/>
      </w:tabs>
      <w:spacing w:before="60" w:after="60"/>
      <w:ind w:left="1361" w:hanging="340"/>
    </w:pPr>
  </w:style>
  <w:style w:type="paragraph" w:styleId="List5">
    <w:name w:val="List 5"/>
    <w:basedOn w:val="BodyText"/>
    <w:rsid w:val="001A6C83"/>
    <w:pPr>
      <w:tabs>
        <w:tab w:val="left" w:pos="1701"/>
      </w:tabs>
      <w:spacing w:before="60" w:after="60"/>
      <w:ind w:left="1701" w:hanging="340"/>
    </w:pPr>
  </w:style>
  <w:style w:type="paragraph" w:styleId="ListBullet3">
    <w:name w:val="List Bullet 3"/>
    <w:basedOn w:val="List3"/>
    <w:rsid w:val="001A6C83"/>
    <w:pPr>
      <w:numPr>
        <w:numId w:val="14"/>
      </w:numPr>
      <w:tabs>
        <w:tab w:val="clear" w:pos="1021"/>
      </w:tabs>
      <w:ind w:left="1037" w:hanging="357"/>
    </w:pPr>
  </w:style>
  <w:style w:type="paragraph" w:styleId="ListBullet4">
    <w:name w:val="List Bullet 4"/>
    <w:basedOn w:val="List4"/>
    <w:rsid w:val="001A6C83"/>
    <w:pPr>
      <w:numPr>
        <w:numId w:val="3"/>
      </w:numPr>
      <w:tabs>
        <w:tab w:val="clear" w:pos="1361"/>
      </w:tabs>
    </w:pPr>
  </w:style>
  <w:style w:type="paragraph" w:styleId="ListBullet5">
    <w:name w:val="List Bullet 5"/>
    <w:basedOn w:val="List5"/>
    <w:rsid w:val="001A6C83"/>
    <w:pPr>
      <w:numPr>
        <w:numId w:val="4"/>
      </w:numPr>
    </w:pPr>
  </w:style>
  <w:style w:type="paragraph" w:styleId="ListContinue2">
    <w:name w:val="List Continue 2"/>
    <w:basedOn w:val="List2"/>
    <w:rsid w:val="001A6C83"/>
    <w:pPr>
      <w:ind w:firstLine="0"/>
    </w:pPr>
  </w:style>
  <w:style w:type="paragraph" w:styleId="ListContinue3">
    <w:name w:val="List Continue 3"/>
    <w:basedOn w:val="List3"/>
    <w:rsid w:val="001A6C83"/>
    <w:pPr>
      <w:ind w:left="1021" w:firstLine="0"/>
    </w:pPr>
  </w:style>
  <w:style w:type="paragraph" w:styleId="ListContinue4">
    <w:name w:val="List Continue 4"/>
    <w:basedOn w:val="List4"/>
    <w:rsid w:val="001A6C83"/>
    <w:pPr>
      <w:ind w:firstLine="0"/>
    </w:pPr>
  </w:style>
  <w:style w:type="paragraph" w:styleId="ListContinue5">
    <w:name w:val="List Continue 5"/>
    <w:basedOn w:val="List5"/>
    <w:rsid w:val="001A6C83"/>
    <w:pPr>
      <w:ind w:firstLine="0"/>
    </w:pPr>
  </w:style>
  <w:style w:type="paragraph" w:styleId="ListNumber3">
    <w:name w:val="List Number 3"/>
    <w:basedOn w:val="List3"/>
    <w:rsid w:val="001A6C83"/>
    <w:pPr>
      <w:numPr>
        <w:numId w:val="5"/>
      </w:numPr>
    </w:pPr>
  </w:style>
  <w:style w:type="paragraph" w:styleId="ListNumber4">
    <w:name w:val="List Number 4"/>
    <w:basedOn w:val="List4"/>
    <w:rsid w:val="001A6C83"/>
    <w:pPr>
      <w:numPr>
        <w:numId w:val="6"/>
      </w:numPr>
    </w:pPr>
  </w:style>
  <w:style w:type="paragraph" w:styleId="ListNumber5">
    <w:name w:val="List Number 5"/>
    <w:basedOn w:val="List5"/>
    <w:rsid w:val="001A6C83"/>
    <w:pPr>
      <w:numPr>
        <w:numId w:val="7"/>
      </w:numPr>
    </w:pPr>
  </w:style>
  <w:style w:type="paragraph" w:styleId="BlockText">
    <w:name w:val="Block Text"/>
    <w:basedOn w:val="Normal"/>
    <w:rsid w:val="001A6C83"/>
    <w:pPr>
      <w:spacing w:after="120"/>
      <w:ind w:left="1440" w:right="1440"/>
    </w:pPr>
  </w:style>
  <w:style w:type="character" w:customStyle="1" w:styleId="Subscript">
    <w:name w:val="Subscript"/>
    <w:basedOn w:val="DefaultParagraphFont"/>
    <w:rsid w:val="001A6C83"/>
    <w:rPr>
      <w:sz w:val="16"/>
      <w:vertAlign w:val="subscript"/>
    </w:rPr>
  </w:style>
  <w:style w:type="character" w:customStyle="1" w:styleId="Superscript">
    <w:name w:val="Superscript"/>
    <w:basedOn w:val="DefaultParagraphFont"/>
    <w:rsid w:val="001A6C83"/>
    <w:rPr>
      <w:sz w:val="16"/>
      <w:vertAlign w:val="superscript"/>
    </w:rPr>
  </w:style>
  <w:style w:type="character" w:customStyle="1" w:styleId="Symbols">
    <w:name w:val="Symbols"/>
    <w:basedOn w:val="DefaultParagraphFont"/>
    <w:rsid w:val="001A6C83"/>
    <w:rPr>
      <w:rFonts w:ascii="Symbol" w:hAnsi="Symbol"/>
    </w:rPr>
  </w:style>
  <w:style w:type="character" w:customStyle="1" w:styleId="MenuOptions">
    <w:name w:val="Menu Options"/>
    <w:basedOn w:val="DefaultParagraphFont"/>
    <w:rsid w:val="001A6C83"/>
    <w:rPr>
      <w:rFonts w:ascii="Arial Narrow" w:hAnsi="Arial Narrow"/>
      <w:smallCaps/>
    </w:rPr>
  </w:style>
  <w:style w:type="character" w:customStyle="1" w:styleId="Buttons">
    <w:name w:val="Buttons"/>
    <w:basedOn w:val="DefaultParagraphFont"/>
    <w:rsid w:val="001A6C83"/>
    <w:rPr>
      <w:b/>
    </w:rPr>
  </w:style>
  <w:style w:type="character" w:customStyle="1" w:styleId="Underlined">
    <w:name w:val="Underlined"/>
    <w:basedOn w:val="DefaultParagraphFont"/>
    <w:rsid w:val="001A6C83"/>
    <w:rPr>
      <w:u w:val="single"/>
    </w:rPr>
  </w:style>
  <w:style w:type="paragraph" w:customStyle="1" w:styleId="TableBodyTextRight">
    <w:name w:val="Table Body Text Right"/>
    <w:basedOn w:val="TableBodyText"/>
    <w:rsid w:val="001A6C83"/>
    <w:pPr>
      <w:widowControl w:val="0"/>
      <w:autoSpaceDE w:val="0"/>
      <w:autoSpaceDN w:val="0"/>
      <w:adjustRightInd w:val="0"/>
      <w:jc w:val="right"/>
    </w:pPr>
    <w:rPr>
      <w:rFonts w:cs="Arial"/>
      <w:szCs w:val="18"/>
    </w:rPr>
  </w:style>
  <w:style w:type="paragraph" w:customStyle="1" w:styleId="CopyrightText">
    <w:name w:val="Copyright Text"/>
    <w:basedOn w:val="BodyText"/>
    <w:rsid w:val="001A6C83"/>
    <w:rPr>
      <w:sz w:val="18"/>
    </w:rPr>
  </w:style>
  <w:style w:type="paragraph" w:customStyle="1" w:styleId="BodySmallRight">
    <w:name w:val="Body Small Right"/>
    <w:basedOn w:val="BodyTextRight"/>
    <w:rsid w:val="001A6C83"/>
    <w:rPr>
      <w:sz w:val="18"/>
      <w:szCs w:val="18"/>
    </w:rPr>
  </w:style>
  <w:style w:type="paragraph" w:customStyle="1" w:styleId="MarginEdition">
    <w:name w:val="Margin Edition"/>
    <w:basedOn w:val="MarginNote"/>
    <w:rsid w:val="001A6C83"/>
    <w:pPr>
      <w:spacing w:before="0" w:after="0"/>
    </w:pPr>
    <w:rPr>
      <w:rFonts w:ascii="Times New Roman" w:hAnsi="Times New Roman"/>
      <w:color w:val="999999"/>
    </w:rPr>
  </w:style>
  <w:style w:type="paragraph" w:customStyle="1" w:styleId="Spacer">
    <w:name w:val="Spacer"/>
    <w:basedOn w:val="Normal"/>
    <w:rsid w:val="001A6C83"/>
    <w:rPr>
      <w:sz w:val="2"/>
      <w:szCs w:val="2"/>
    </w:rPr>
  </w:style>
  <w:style w:type="character" w:customStyle="1" w:styleId="Small">
    <w:name w:val="Small"/>
    <w:basedOn w:val="DefaultParagraphFont"/>
    <w:rsid w:val="001A6C83"/>
    <w:rPr>
      <w:sz w:val="16"/>
    </w:rPr>
  </w:style>
  <w:style w:type="paragraph" w:customStyle="1" w:styleId="WideTable">
    <w:name w:val="Wide Table"/>
    <w:basedOn w:val="Normal"/>
    <w:rsid w:val="001A6C83"/>
    <w:pPr>
      <w:ind w:left="-1418"/>
    </w:pPr>
    <w:rPr>
      <w:sz w:val="2"/>
      <w:szCs w:val="2"/>
    </w:rPr>
  </w:style>
  <w:style w:type="character" w:styleId="PageNumber">
    <w:name w:val="page number"/>
    <w:basedOn w:val="DefaultParagraphFont"/>
    <w:rsid w:val="001A6C83"/>
  </w:style>
  <w:style w:type="paragraph" w:styleId="Quote">
    <w:name w:val="Quote"/>
    <w:basedOn w:val="Heading1"/>
    <w:link w:val="QuoteChar"/>
    <w:qFormat/>
    <w:rsid w:val="001A6C83"/>
    <w:rPr>
      <w:b w:val="0"/>
      <w:sz w:val="72"/>
      <w:szCs w:val="72"/>
      <w:lang w:val="en-NZ"/>
    </w:rPr>
  </w:style>
  <w:style w:type="character" w:customStyle="1" w:styleId="QuoteChar">
    <w:name w:val="Quote Char"/>
    <w:basedOn w:val="DefaultParagraphFont"/>
    <w:link w:val="Quote"/>
    <w:rsid w:val="001A6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C83"/>
    <w:pPr>
      <w:pageBreakBefore/>
    </w:pPr>
  </w:style>
  <w:style w:type="paragraph" w:customStyle="1" w:styleId="Border">
    <w:name w:val="Border"/>
    <w:basedOn w:val="Normal"/>
    <w:qFormat/>
    <w:rsid w:val="001A6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C83"/>
    <w:rPr>
      <w:b/>
      <w:bCs/>
      <w:i/>
      <w:iCs/>
      <w:color w:val="auto"/>
    </w:rPr>
  </w:style>
  <w:style w:type="paragraph" w:styleId="IntenseQuote">
    <w:name w:val="Intense Quote"/>
    <w:basedOn w:val="Normal"/>
    <w:next w:val="Normal"/>
    <w:link w:val="IntenseQuoteChar"/>
    <w:uiPriority w:val="30"/>
    <w:qFormat/>
    <w:rsid w:val="001A6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C83"/>
    <w:rPr>
      <w:smallCaps/>
      <w:color w:val="auto"/>
      <w:u w:val="single"/>
    </w:rPr>
  </w:style>
  <w:style w:type="character" w:styleId="IntenseReference">
    <w:name w:val="Intense Reference"/>
    <w:basedOn w:val="DefaultParagraphFont"/>
    <w:uiPriority w:val="32"/>
    <w:qFormat/>
    <w:rsid w:val="001A6C83"/>
    <w:rPr>
      <w:b/>
      <w:bCs/>
      <w:smallCaps/>
      <w:color w:val="auto"/>
      <w:spacing w:val="5"/>
      <w:u w:val="single"/>
    </w:rPr>
  </w:style>
  <w:style w:type="paragraph" w:customStyle="1" w:styleId="2ColumnHeading">
    <w:name w:val="2Column Heading"/>
    <w:basedOn w:val="BodyText"/>
    <w:qFormat/>
    <w:rsid w:val="001A6C83"/>
    <w:pPr>
      <w:spacing w:after="60"/>
      <w:ind w:left="-2268"/>
    </w:pPr>
    <w:rPr>
      <w:b/>
    </w:rPr>
  </w:style>
  <w:style w:type="paragraph" w:customStyle="1" w:styleId="Heading1TOC">
    <w:name w:val="Heading1 TOC"/>
    <w:basedOn w:val="Normal"/>
    <w:qFormat/>
    <w:rsid w:val="001A6C83"/>
    <w:pPr>
      <w:spacing w:before="240" w:after="120"/>
    </w:pPr>
    <w:rPr>
      <w:rFonts w:ascii="Times New Roman" w:hAnsi="Times New Roman"/>
      <w:b/>
      <w:sz w:val="32"/>
    </w:rPr>
  </w:style>
  <w:style w:type="paragraph" w:customStyle="1" w:styleId="Heading2TOC">
    <w:name w:val="Heading2 TOC"/>
    <w:basedOn w:val="Normal"/>
    <w:qFormat/>
    <w:rsid w:val="001A6C83"/>
    <w:pPr>
      <w:spacing w:before="240" w:after="60"/>
    </w:pPr>
    <w:rPr>
      <w:rFonts w:ascii="Times New Roman" w:hAnsi="Times New Roman"/>
      <w:b/>
      <w:sz w:val="28"/>
    </w:rPr>
  </w:style>
  <w:style w:type="character" w:customStyle="1" w:styleId="Underline">
    <w:name w:val="Underline"/>
    <w:basedOn w:val="DefaultParagraphFont"/>
    <w:qFormat/>
    <w:rsid w:val="001A6C83"/>
    <w:rPr>
      <w:u w:val="single"/>
    </w:rPr>
  </w:style>
  <w:style w:type="character" w:customStyle="1" w:styleId="BoldandItalics">
    <w:name w:val="Bold and Italics"/>
    <w:qFormat/>
    <w:rsid w:val="001A6C83"/>
    <w:rPr>
      <w:b/>
      <w:i/>
      <w:u w:val="none"/>
    </w:rPr>
  </w:style>
  <w:style w:type="paragraph" w:styleId="BalloonText">
    <w:name w:val="Balloon Text"/>
    <w:basedOn w:val="Normal"/>
    <w:link w:val="BalloonTextChar"/>
    <w:rsid w:val="001A6C83"/>
    <w:rPr>
      <w:rFonts w:ascii="Tahoma" w:hAnsi="Tahoma" w:cs="Tahoma"/>
      <w:sz w:val="16"/>
      <w:szCs w:val="16"/>
    </w:rPr>
  </w:style>
  <w:style w:type="character" w:customStyle="1" w:styleId="BalloonTextChar">
    <w:name w:val="Balloon Text Char"/>
    <w:basedOn w:val="DefaultParagraphFont"/>
    <w:link w:val="BalloonText"/>
    <w:rsid w:val="001A6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C83"/>
    <w:rPr>
      <w:b/>
      <w:color w:val="660033"/>
      <w:spacing w:val="0"/>
    </w:rPr>
  </w:style>
  <w:style w:type="paragraph" w:customStyle="1" w:styleId="Nameditemlist">
    <w:name w:val="Named item list"/>
    <w:basedOn w:val="BodyText"/>
    <w:qFormat/>
    <w:rsid w:val="001A6C83"/>
    <w:pPr>
      <w:tabs>
        <w:tab w:val="left" w:pos="2835"/>
      </w:tabs>
      <w:ind w:left="2835" w:hanging="2835"/>
    </w:pPr>
  </w:style>
  <w:style w:type="paragraph" w:customStyle="1" w:styleId="BodyTextnopadding">
    <w:name w:val="Body Text no padding"/>
    <w:basedOn w:val="BodyText"/>
    <w:qFormat/>
    <w:rsid w:val="001A6C83"/>
    <w:pPr>
      <w:spacing w:before="0" w:after="0"/>
    </w:pPr>
  </w:style>
  <w:style w:type="paragraph" w:customStyle="1" w:styleId="BodyTextBold">
    <w:name w:val="Body Text Bold"/>
    <w:basedOn w:val="BodyText"/>
    <w:qFormat/>
    <w:rsid w:val="001A6C83"/>
    <w:rPr>
      <w:b/>
    </w:rPr>
  </w:style>
  <w:style w:type="character" w:styleId="Hyperlink">
    <w:name w:val="Hyperlink"/>
    <w:basedOn w:val="DefaultParagraphFont"/>
    <w:uiPriority w:val="99"/>
    <w:unhideWhenUsed/>
    <w:rsid w:val="00D20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6386</Characters>
  <Application>Microsoft Office Word</Application>
  <DocSecurity>0</DocSecurity>
  <Lines>245</Lines>
  <Paragraphs>136</Paragraphs>
  <ScaleCrop>false</ScaleCrop>
  <Company>Author-it Software Corporation Ltd.</Company>
  <LinksUpToDate>false</LinksUpToDate>
  <CharactersWithSpaces>7244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DEFFOR015 Conduct digital data search and analysis</dc:title>
  <dc:subject>Approved</dc:subject>
  <dc:creator>Public Skills Australia</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