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256" w:rsidP="00BA02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DEFFOR003 Gather and analyse electronic information</w:t>
      </w:r>
      <w:r>
        <w:fldChar w:fldCharType="end"/>
      </w:r>
    </w:p>
    <w:p w:rsidR="00BA0256" w:rsidP="00BA0256">
      <w:pPr>
        <w:pStyle w:val="Version"/>
        <w:sectPr w:rsidSect="00541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603" w:rsidP="00541603">
      <w:pPr>
        <w:pStyle w:val="SuperHeading"/>
      </w:pPr>
      <w:r w:rsidRPr="00541603">
        <w:t>Assessment Requirements for DEFFOR003 Gather and analyse electronic information</w:t>
      </w:r>
    </w:p>
    <w:p w:rsidR="00000000" w:rsidRPr="00541603" w:rsidP="00541603">
      <w:pPr>
        <w:pStyle w:val="Heading1"/>
      </w:pPr>
      <w:bookmarkStart w:id="1" w:name="O_658004"/>
      <w:bookmarkEnd w:id="1"/>
      <w:r w:rsidRPr="00541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A0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603">
            <w:pPr>
              <w:pStyle w:val="TableHeading"/>
              <w:rPr>
                <w:lang w:val="en-NZ"/>
              </w:rPr>
            </w:pPr>
            <w:r w:rsidRPr="0054160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603">
            <w:pPr>
              <w:pStyle w:val="TableHeading"/>
              <w:rPr>
                <w:lang w:val="en-NZ"/>
              </w:rPr>
            </w:pPr>
            <w:r w:rsidRPr="00541603">
              <w:t>Comments</w:t>
            </w:r>
          </w:p>
        </w:tc>
      </w:tr>
      <w:tr w:rsidTr="00BA02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603">
            <w:pPr>
              <w:pStyle w:val="BodyText"/>
              <w:rPr>
                <w:lang w:val="en-NZ"/>
              </w:rPr>
            </w:pPr>
            <w:r w:rsidRPr="0054160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603" w:rsidP="00541603">
            <w:pPr>
              <w:pStyle w:val="BodyText"/>
            </w:pPr>
            <w:r w:rsidRPr="00541603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BA0256" w:rsidP="00541603">
      <w:pPr>
        <w:pStyle w:val="BodyText"/>
      </w:pPr>
    </w:p>
    <w:p w:rsidR="00BA0256" w:rsidP="00541603">
      <w:pPr>
        <w:pStyle w:val="BodyText"/>
      </w:pPr>
    </w:p>
    <w:p w:rsidR="00000000" w:rsidRPr="00541603" w:rsidP="00541603">
      <w:pPr>
        <w:pStyle w:val="Heading1"/>
      </w:pPr>
      <w:bookmarkStart w:id="2" w:name="O_658005"/>
      <w:bookmarkEnd w:id="2"/>
      <w:r w:rsidRPr="00541603">
        <w:t>Performance Evidence</w:t>
      </w:r>
    </w:p>
    <w:p w:rsidR="00000000" w:rsidRPr="00541603" w:rsidP="00BA0256">
      <w:pPr>
        <w:pStyle w:val="BodyText"/>
      </w:pPr>
      <w:r w:rsidRPr="00541603">
        <w:t>Evidence required to demonstrate competence must satisfy all of the requirements</w:t>
      </w:r>
      <w:r w:rsidRPr="00541603">
        <w:t xml:space="preserve"> of the elements and performance criteria. If not otherwise specified the candidate must demonstrate evidence of performance of the following on at least one occasion.</w:t>
      </w:r>
    </w:p>
    <w:p w:rsidR="00000000" w:rsidRPr="00541603" w:rsidP="00541603">
      <w:pPr>
        <w:pStyle w:val="ListBullet"/>
      </w:pPr>
      <w:r w:rsidRPr="00541603">
        <w:t>detecting electronic evidence from digital and analogue recording and communication equ</w:t>
      </w:r>
      <w:r w:rsidRPr="00541603">
        <w:t>ipment including at least one of:</w:t>
      </w:r>
    </w:p>
    <w:p w:rsidR="00000000" w:rsidRPr="00541603" w:rsidP="00541603">
      <w:pPr>
        <w:pStyle w:val="ListBullet2"/>
      </w:pPr>
      <w:r w:rsidRPr="00541603">
        <w:t xml:space="preserve">hard drives </w:t>
      </w:r>
    </w:p>
    <w:p w:rsidR="00000000" w:rsidRPr="00541603" w:rsidP="00541603">
      <w:pPr>
        <w:pStyle w:val="ListBullet2"/>
      </w:pPr>
      <w:r w:rsidRPr="00541603">
        <w:t>recording media</w:t>
      </w:r>
    </w:p>
    <w:p w:rsidR="00000000" w:rsidRPr="00541603" w:rsidP="00541603">
      <w:pPr>
        <w:pStyle w:val="ListBullet2"/>
      </w:pPr>
      <w:r w:rsidRPr="00541603">
        <w:t xml:space="preserve">flash drives </w:t>
      </w:r>
    </w:p>
    <w:p w:rsidR="00000000" w:rsidRPr="00541603" w:rsidP="00541603">
      <w:pPr>
        <w:pStyle w:val="ListBullet2"/>
      </w:pPr>
      <w:r w:rsidRPr="00541603">
        <w:t>tape drives</w:t>
      </w:r>
    </w:p>
    <w:p w:rsidR="00000000" w:rsidRPr="00541603" w:rsidP="00541603">
      <w:pPr>
        <w:pStyle w:val="ListBullet2"/>
      </w:pPr>
      <w:r w:rsidRPr="00541603">
        <w:t>random-access memory (RAM)</w:t>
      </w:r>
    </w:p>
    <w:p w:rsidR="00000000" w:rsidRPr="00541603" w:rsidP="00541603">
      <w:pPr>
        <w:pStyle w:val="ListBullet2"/>
      </w:pPr>
      <w:r w:rsidRPr="00541603">
        <w:t>read-only memory (ROM)</w:t>
      </w:r>
    </w:p>
    <w:p w:rsidR="00000000" w:rsidRPr="00541603" w:rsidP="00541603">
      <w:pPr>
        <w:pStyle w:val="ListBullet2"/>
      </w:pPr>
      <w:r w:rsidRPr="00541603">
        <w:t>basic input/output system (BIOS)</w:t>
      </w:r>
    </w:p>
    <w:p w:rsidR="00000000" w:rsidRPr="00541603" w:rsidP="00541603">
      <w:pPr>
        <w:pStyle w:val="ListBullet2"/>
      </w:pPr>
      <w:r w:rsidRPr="00541603">
        <w:t>other peripherals</w:t>
      </w:r>
    </w:p>
    <w:p w:rsidR="00000000" w:rsidRPr="00541603" w:rsidP="00541603">
      <w:pPr>
        <w:pStyle w:val="ListBullet"/>
      </w:pPr>
      <w:r w:rsidRPr="00541603">
        <w:t>solving problems and making analytical decisions in response to a range of electronic evidence contexts, including the systematic examination of electronic evidence items</w:t>
      </w:r>
    </w:p>
    <w:p w:rsidR="00000000" w:rsidRPr="00541603" w:rsidP="00541603">
      <w:pPr>
        <w:pStyle w:val="ListBullet"/>
      </w:pPr>
      <w:r w:rsidRPr="00541603">
        <w:t>removing media</w:t>
      </w:r>
    </w:p>
    <w:p w:rsidR="00000000" w:rsidRPr="00541603" w:rsidP="00541603">
      <w:pPr>
        <w:pStyle w:val="ListBullet"/>
      </w:pPr>
      <w:r w:rsidRPr="00541603">
        <w:t>analysing electronic information</w:t>
      </w:r>
    </w:p>
    <w:p w:rsidR="00000000" w:rsidRPr="00541603" w:rsidP="00541603">
      <w:pPr>
        <w:pStyle w:val="ListBullet"/>
      </w:pPr>
      <w:r w:rsidRPr="00541603">
        <w:t>maximising the evidentiary value of t</w:t>
      </w:r>
      <w:r w:rsidRPr="00541603">
        <w:t>he electronic evidence</w:t>
      </w:r>
    </w:p>
    <w:p w:rsidR="00000000" w:rsidRPr="00541603" w:rsidP="00541603">
      <w:pPr>
        <w:pStyle w:val="ListBullet"/>
      </w:pPr>
      <w:r w:rsidRPr="00541603">
        <w:t xml:space="preserve">handling exhibits and preserving continuity of evidence </w:t>
      </w:r>
    </w:p>
    <w:p w:rsidR="00000000" w:rsidRPr="00541603" w:rsidP="00541603">
      <w:pPr>
        <w:pStyle w:val="ListBullet"/>
      </w:pPr>
      <w:r w:rsidRPr="00541603">
        <w:t xml:space="preserve">using specialised evidence recording technology and equipment </w:t>
      </w:r>
    </w:p>
    <w:p w:rsidR="00000000" w:rsidRPr="00541603" w:rsidP="00541603">
      <w:pPr>
        <w:pStyle w:val="ListBullet"/>
      </w:pPr>
      <w:r w:rsidRPr="00541603">
        <w:t xml:space="preserve">packaging, preserving and storing specific evidence types with consideration of: </w:t>
      </w:r>
    </w:p>
    <w:p w:rsidR="00000000" w:rsidRPr="00541603" w:rsidP="00541603">
      <w:pPr>
        <w:pStyle w:val="ListBullet2"/>
      </w:pPr>
      <w:r w:rsidRPr="00541603">
        <w:t>physical nature of exhibit</w:t>
      </w:r>
    </w:p>
    <w:p w:rsidR="00000000" w:rsidRPr="00541603" w:rsidP="00541603">
      <w:pPr>
        <w:pStyle w:val="ListBullet2"/>
      </w:pPr>
      <w:r w:rsidRPr="00541603">
        <w:t>electronic stability</w:t>
      </w:r>
    </w:p>
    <w:p w:rsidR="00000000" w:rsidRPr="00541603" w:rsidP="00541603">
      <w:pPr>
        <w:pStyle w:val="ListBullet2"/>
      </w:pPr>
      <w:r w:rsidRPr="00541603">
        <w:t xml:space="preserve">packaging medium </w:t>
      </w:r>
    </w:p>
    <w:p w:rsidR="00000000" w:rsidRPr="00541603" w:rsidP="00541603">
      <w:pPr>
        <w:pStyle w:val="ListBullet2"/>
      </w:pPr>
      <w:r w:rsidRPr="00541603">
        <w:t>tamper-evident seals</w:t>
      </w:r>
    </w:p>
    <w:p w:rsidR="00000000" w:rsidRPr="00541603" w:rsidP="00541603">
      <w:pPr>
        <w:pStyle w:val="ListBullet2"/>
      </w:pPr>
      <w:r w:rsidRPr="00541603">
        <w:t>exhibit labels</w:t>
      </w:r>
    </w:p>
    <w:p w:rsidR="00000000" w:rsidRPr="00541603" w:rsidP="00541603">
      <w:pPr>
        <w:pStyle w:val="ListBullet2"/>
      </w:pPr>
      <w:r w:rsidRPr="00541603">
        <w:t>storage temperature</w:t>
      </w:r>
    </w:p>
    <w:p w:rsidR="00000000" w:rsidRPr="00541603" w:rsidP="00541603">
      <w:pPr>
        <w:pStyle w:val="ListBullet"/>
      </w:pPr>
      <w:r w:rsidRPr="00541603">
        <w:t xml:space="preserve">operating safely </w:t>
      </w:r>
    </w:p>
    <w:p w:rsidR="00000000" w:rsidRPr="00541603" w:rsidP="00541603">
      <w:pPr>
        <w:pStyle w:val="ListBullet"/>
      </w:pPr>
      <w:r w:rsidRPr="00541603">
        <w:t>recording evidence using methods including at least one of:</w:t>
      </w:r>
    </w:p>
    <w:p w:rsidR="00000000" w:rsidRPr="00541603" w:rsidP="00541603">
      <w:pPr>
        <w:pStyle w:val="ListBullet2"/>
      </w:pPr>
      <w:r w:rsidRPr="00541603">
        <w:t>photographic</w:t>
      </w:r>
    </w:p>
    <w:p w:rsidR="00000000" w:rsidRPr="00541603" w:rsidP="00541603">
      <w:pPr>
        <w:pStyle w:val="ListBullet2"/>
      </w:pPr>
      <w:r w:rsidRPr="00541603">
        <w:t>sketch plan</w:t>
      </w:r>
    </w:p>
    <w:p w:rsidR="00000000" w:rsidRPr="00541603" w:rsidP="00541603">
      <w:pPr>
        <w:pStyle w:val="ListBullet2"/>
      </w:pPr>
      <w:r w:rsidRPr="00541603">
        <w:t>handwritten notes</w:t>
      </w:r>
    </w:p>
    <w:p w:rsidR="00000000" w:rsidRPr="00541603" w:rsidP="00541603">
      <w:pPr>
        <w:pStyle w:val="ListBullet2"/>
      </w:pPr>
      <w:r w:rsidRPr="00541603">
        <w:t>video recording</w:t>
      </w:r>
    </w:p>
    <w:p w:rsidR="00000000" w:rsidRPr="00541603" w:rsidP="00541603">
      <w:pPr>
        <w:pStyle w:val="ListBullet2"/>
      </w:pPr>
      <w:r w:rsidRPr="00541603">
        <w:t>digital imaging</w:t>
      </w:r>
    </w:p>
    <w:p w:rsidR="00000000" w:rsidRPr="00541603" w:rsidP="00541603">
      <w:pPr>
        <w:pStyle w:val="ListBullet2"/>
      </w:pPr>
      <w:r w:rsidRPr="00541603">
        <w:t>physic</w:t>
      </w:r>
      <w:r w:rsidRPr="00541603">
        <w:t>al capture</w:t>
      </w:r>
    </w:p>
    <w:p w:rsidR="00000000" w:rsidRPr="00541603" w:rsidP="00541603">
      <w:pPr>
        <w:pStyle w:val="ListBullet2"/>
      </w:pPr>
      <w:r w:rsidRPr="00541603">
        <w:t>computer generated data</w:t>
      </w:r>
    </w:p>
    <w:p w:rsidR="00000000" w:rsidRPr="00541603" w:rsidP="00541603">
      <w:pPr>
        <w:pStyle w:val="ListBullet2"/>
      </w:pPr>
      <w:r w:rsidRPr="00541603">
        <w:t>audio recording</w:t>
      </w:r>
    </w:p>
    <w:p w:rsidR="00000000" w:rsidRPr="00541603" w:rsidP="00541603">
      <w:pPr>
        <w:pStyle w:val="ListBullet2"/>
      </w:pPr>
      <w:r w:rsidRPr="00541603">
        <w:t>global positioning system (GPS)</w:t>
      </w:r>
    </w:p>
    <w:p w:rsidR="00000000" w:rsidRPr="00541603" w:rsidP="00541603">
      <w:pPr>
        <w:pStyle w:val="AllowPageBreak"/>
      </w:pPr>
    </w:p>
    <w:p w:rsidR="00000000" w:rsidRPr="00541603" w:rsidP="00541603">
      <w:pPr>
        <w:pStyle w:val="Heading1"/>
      </w:pPr>
      <w:bookmarkStart w:id="3" w:name="O_658006"/>
      <w:bookmarkEnd w:id="3"/>
      <w:r w:rsidRPr="00541603">
        <w:t>Knowledge Evidence</w:t>
      </w:r>
    </w:p>
    <w:p w:rsidR="00000000" w:rsidRPr="00541603" w:rsidP="00BA0256">
      <w:pPr>
        <w:pStyle w:val="BodyText"/>
      </w:pPr>
      <w:r w:rsidRPr="00541603">
        <w:t>Evidence required to demonstrate competence must satisfy all of the requirements of the elements and performance criteria. I</w:t>
      </w:r>
      <w:r w:rsidRPr="00541603">
        <w:t>f not otherwise specified the depth of knowledge demonstrated must be appropriate to the job context of the candidate.</w:t>
      </w:r>
    </w:p>
    <w:p w:rsidR="00000000" w:rsidRPr="00541603" w:rsidP="00541603">
      <w:pPr>
        <w:pStyle w:val="ListBullet"/>
      </w:pPr>
      <w:r w:rsidRPr="00541603">
        <w:t xml:space="preserve">legislative, policy and quality system context and requirements </w:t>
      </w:r>
    </w:p>
    <w:p w:rsidR="00000000" w:rsidRPr="00541603" w:rsidP="00541603">
      <w:pPr>
        <w:pStyle w:val="ListBullet"/>
      </w:pPr>
      <w:r w:rsidRPr="00541603">
        <w:t>WHS practices to be followed when recording, collecting and packaging e</w:t>
      </w:r>
      <w:r w:rsidRPr="00541603">
        <w:t xml:space="preserve">lectronic evidence </w:t>
      </w:r>
    </w:p>
    <w:p w:rsidR="00000000" w:rsidRPr="00541603" w:rsidP="00541603">
      <w:pPr>
        <w:pStyle w:val="ListBullet"/>
      </w:pPr>
      <w:r w:rsidRPr="00541603">
        <w:t xml:space="preserve">range of techniques available for gathering, collecting, packaging and preserving electronic evidence </w:t>
      </w:r>
    </w:p>
    <w:p w:rsidR="00000000" w:rsidRPr="00541603" w:rsidP="00541603">
      <w:pPr>
        <w:pStyle w:val="ListBullet"/>
      </w:pPr>
      <w:r w:rsidRPr="00541603">
        <w:t xml:space="preserve">required forensic documentation for recording and collecting electronic evidence </w:t>
      </w:r>
    </w:p>
    <w:p w:rsidR="00000000" w:rsidRPr="00541603" w:rsidP="00541603">
      <w:pPr>
        <w:pStyle w:val="ListBullet"/>
      </w:pPr>
      <w:r w:rsidRPr="00541603">
        <w:t>roles and functions of other forensic discipline sp</w:t>
      </w:r>
      <w:r w:rsidRPr="00541603">
        <w:t xml:space="preserve">ecialists in the recording, collection, preservation and continuity of electronic evidence </w:t>
      </w:r>
    </w:p>
    <w:p w:rsidR="00000000" w:rsidRPr="00541603" w:rsidP="00541603">
      <w:pPr>
        <w:pStyle w:val="AllowPageBreak"/>
      </w:pPr>
    </w:p>
    <w:p w:rsidR="00000000" w:rsidRPr="00541603" w:rsidP="00541603">
      <w:pPr>
        <w:pStyle w:val="Heading1"/>
      </w:pPr>
      <w:bookmarkStart w:id="4" w:name="O_658007"/>
      <w:bookmarkEnd w:id="4"/>
      <w:r w:rsidRPr="00541603">
        <w:t>Assessment Conditions</w:t>
      </w:r>
    </w:p>
    <w:p w:rsidR="00000000" w:rsidRPr="00541603" w:rsidP="00BA0256">
      <w:pPr>
        <w:pStyle w:val="BodyText"/>
      </w:pPr>
      <w:r w:rsidRPr="00541603">
        <w:t>Competency should be assessed in an actual workplace or in a simulated environment, with access to equipment and infrastructu</w:t>
      </w:r>
      <w:r w:rsidRPr="00541603">
        <w:t>re appropriate to the outcome. Competency should be demonstrated over time to ensure the candidate is assessed across a variety of situations, with access to electronic devices with content suitable for forensic extraction including mobile devices, compute</w:t>
      </w:r>
      <w:r w:rsidRPr="00541603">
        <w:t xml:space="preserve">rs or communications equipment. </w:t>
      </w:r>
    </w:p>
    <w:p w:rsidR="00000000" w:rsidRPr="00541603" w:rsidP="00BA0256">
      <w:pPr>
        <w:pStyle w:val="BodyText"/>
      </w:pPr>
      <w:r w:rsidRPr="00541603">
        <w:t>Assessors must satisfy the NVR/AQTF mandatory competency requirements for assessors.</w:t>
      </w:r>
    </w:p>
    <w:p w:rsidR="00000000" w:rsidRPr="00541603" w:rsidP="00541603">
      <w:pPr>
        <w:pStyle w:val="Heading1"/>
      </w:pPr>
      <w:bookmarkStart w:id="5" w:name="O_658010"/>
      <w:bookmarkEnd w:id="5"/>
      <w:r w:rsidRPr="00541603">
        <w:t>Links</w:t>
      </w:r>
    </w:p>
    <w:p w:rsidR="00000000" w:rsidRPr="00541603" w:rsidP="00BA0256">
      <w:pPr>
        <w:pStyle w:val="BodyText"/>
      </w:pPr>
      <w:r w:rsidRPr="00541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16F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41603" w:rsidP="00BA0256">
      <w:pPr>
        <w:pStyle w:val="BodyText"/>
      </w:pPr>
      <w:r w:rsidRPr="00541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16F8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41603" w:rsidP="00541603"/>
    <w:sectPr w:rsidSect="00541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03" w:rsidRPr="00BA0256" w:rsidP="00BA02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56" w:rsidP="00541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256" w:rsidP="00541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0256" w:rsidP="00541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603" w:rsidRPr="00BA0256" w:rsidP="00BA02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256" w:rsidRPr="002D2AF8" w:rsidP="00541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DEFFOR003 Gather and analyse electronic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A0256" w:rsidP="00541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3AF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24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C0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603"/>
  </w:style>
  <w:style w:type="character" w:customStyle="1" w:styleId="Heading1Char">
    <w:name w:val="Heading 1 Char"/>
    <w:basedOn w:val="DefaultParagraphFont"/>
    <w:link w:val="Heading1"/>
    <w:rsid w:val="00541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6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16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1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416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41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1603"/>
    <w:rPr>
      <w:b/>
      <w:spacing w:val="0"/>
    </w:rPr>
  </w:style>
  <w:style w:type="paragraph" w:customStyle="1" w:styleId="SuperTitle">
    <w:name w:val="SuperTitle"/>
    <w:basedOn w:val="Title"/>
    <w:rsid w:val="00541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603"/>
    <w:rPr>
      <w:i/>
    </w:rPr>
  </w:style>
  <w:style w:type="paragraph" w:styleId="Caption">
    <w:name w:val="caption"/>
    <w:basedOn w:val="BodyText"/>
    <w:next w:val="Normal"/>
    <w:qFormat/>
    <w:rsid w:val="00541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603"/>
  </w:style>
  <w:style w:type="paragraph" w:styleId="TableofFigures">
    <w:name w:val="table of figures"/>
    <w:basedOn w:val="Normal"/>
    <w:next w:val="Normal"/>
    <w:semiHidden/>
    <w:rsid w:val="00541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603"/>
    <w:rPr>
      <w:rFonts w:ascii="Wingdings" w:hAnsi="Wingdings"/>
    </w:rPr>
  </w:style>
  <w:style w:type="character" w:customStyle="1" w:styleId="HotSpot">
    <w:name w:val="HotSpot"/>
    <w:rsid w:val="00541603"/>
    <w:rPr>
      <w:color w:val="0033CC"/>
      <w:u w:val="none"/>
    </w:rPr>
  </w:style>
  <w:style w:type="paragraph" w:customStyle="1" w:styleId="BodyTextRight">
    <w:name w:val="Body Text Right"/>
    <w:basedOn w:val="BodyText"/>
    <w:rsid w:val="00541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603"/>
    <w:rPr>
      <w:sz w:val="32"/>
    </w:rPr>
  </w:style>
  <w:style w:type="paragraph" w:customStyle="1" w:styleId="HeadingProcedure">
    <w:name w:val="Heading Procedure"/>
    <w:basedOn w:val="HeadingBase"/>
    <w:next w:val="Normal"/>
    <w:rsid w:val="00541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603"/>
    <w:pPr>
      <w:spacing w:before="60" w:after="60"/>
    </w:pPr>
  </w:style>
  <w:style w:type="paragraph" w:styleId="ListContinue">
    <w:name w:val="List Continue"/>
    <w:basedOn w:val="List"/>
    <w:rsid w:val="00541603"/>
    <w:pPr>
      <w:ind w:firstLine="0"/>
    </w:pPr>
  </w:style>
  <w:style w:type="paragraph" w:customStyle="1" w:styleId="ListNote">
    <w:name w:val="List Note"/>
    <w:basedOn w:val="List"/>
    <w:rsid w:val="00541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603"/>
    <w:rPr>
      <w:rFonts w:ascii="Courier New" w:hAnsi="Courier New"/>
    </w:rPr>
  </w:style>
  <w:style w:type="paragraph" w:customStyle="1" w:styleId="NoteBullet">
    <w:name w:val="Note Bullet"/>
    <w:basedOn w:val="Note"/>
    <w:rsid w:val="00541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603"/>
    <w:rPr>
      <w:b/>
      <w:smallCaps/>
    </w:rPr>
  </w:style>
  <w:style w:type="paragraph" w:customStyle="1" w:styleId="TableListNumber">
    <w:name w:val="Table List Number"/>
    <w:basedOn w:val="ListNumber"/>
    <w:rsid w:val="00541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603"/>
    <w:pPr>
      <w:numPr>
        <w:numId w:val="9"/>
      </w:numPr>
    </w:pPr>
  </w:style>
  <w:style w:type="paragraph" w:customStyle="1" w:styleId="ListAlpha2">
    <w:name w:val="List Alpha 2"/>
    <w:basedOn w:val="List2"/>
    <w:rsid w:val="00541603"/>
    <w:pPr>
      <w:numPr>
        <w:numId w:val="8"/>
      </w:numPr>
    </w:pPr>
  </w:style>
  <w:style w:type="paragraph" w:styleId="List2">
    <w:name w:val="List 2"/>
    <w:basedOn w:val="BodyText"/>
    <w:rsid w:val="00541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603"/>
    <w:pPr>
      <w:numPr>
        <w:numId w:val="4"/>
      </w:numPr>
    </w:pPr>
  </w:style>
  <w:style w:type="paragraph" w:styleId="ListContinue2">
    <w:name w:val="List Continue 2"/>
    <w:basedOn w:val="List2"/>
    <w:rsid w:val="00541603"/>
    <w:pPr>
      <w:ind w:firstLine="0"/>
    </w:pPr>
  </w:style>
  <w:style w:type="paragraph" w:styleId="ListContinue3">
    <w:name w:val="List Continue 3"/>
    <w:basedOn w:val="List3"/>
    <w:rsid w:val="00541603"/>
    <w:pPr>
      <w:ind w:left="1021" w:firstLine="0"/>
    </w:pPr>
  </w:style>
  <w:style w:type="paragraph" w:styleId="ListContinue4">
    <w:name w:val="List Continue 4"/>
    <w:basedOn w:val="List4"/>
    <w:rsid w:val="00541603"/>
    <w:pPr>
      <w:ind w:firstLine="0"/>
    </w:pPr>
  </w:style>
  <w:style w:type="paragraph" w:styleId="ListContinue5">
    <w:name w:val="List Continue 5"/>
    <w:basedOn w:val="List5"/>
    <w:rsid w:val="00541603"/>
    <w:pPr>
      <w:ind w:firstLine="0"/>
    </w:pPr>
  </w:style>
  <w:style w:type="paragraph" w:styleId="ListNumber3">
    <w:name w:val="List Number 3"/>
    <w:basedOn w:val="List3"/>
    <w:rsid w:val="00541603"/>
    <w:pPr>
      <w:numPr>
        <w:numId w:val="5"/>
      </w:numPr>
    </w:pPr>
  </w:style>
  <w:style w:type="paragraph" w:styleId="ListNumber4">
    <w:name w:val="List Number 4"/>
    <w:basedOn w:val="List4"/>
    <w:rsid w:val="00541603"/>
    <w:pPr>
      <w:numPr>
        <w:numId w:val="6"/>
      </w:numPr>
    </w:pPr>
  </w:style>
  <w:style w:type="paragraph" w:styleId="ListNumber5">
    <w:name w:val="List Number 5"/>
    <w:basedOn w:val="List5"/>
    <w:rsid w:val="00541603"/>
    <w:pPr>
      <w:numPr>
        <w:numId w:val="7"/>
      </w:numPr>
    </w:pPr>
  </w:style>
  <w:style w:type="paragraph" w:styleId="BlockText">
    <w:name w:val="Block Text"/>
    <w:basedOn w:val="Normal"/>
    <w:rsid w:val="00541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603"/>
    <w:rPr>
      <w:sz w:val="16"/>
      <w:vertAlign w:val="superscript"/>
    </w:rPr>
  </w:style>
  <w:style w:type="character" w:customStyle="1" w:styleId="Symbols">
    <w:name w:val="Symbols"/>
    <w:basedOn w:val="DefaultParagraphFont"/>
    <w:rsid w:val="00541603"/>
    <w:rPr>
      <w:rFonts w:ascii="Symbol" w:hAnsi="Symbol"/>
    </w:rPr>
  </w:style>
  <w:style w:type="character" w:customStyle="1" w:styleId="MenuOptions">
    <w:name w:val="Menu Options"/>
    <w:basedOn w:val="DefaultParagraphFont"/>
    <w:rsid w:val="00541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603"/>
    <w:rPr>
      <w:b/>
    </w:rPr>
  </w:style>
  <w:style w:type="character" w:customStyle="1" w:styleId="Underlined">
    <w:name w:val="Underlined"/>
    <w:basedOn w:val="DefaultParagraphFont"/>
    <w:rsid w:val="00541603"/>
    <w:rPr>
      <w:u w:val="single"/>
    </w:rPr>
  </w:style>
  <w:style w:type="paragraph" w:customStyle="1" w:styleId="TableBodyTextRight">
    <w:name w:val="Table Body Text Right"/>
    <w:basedOn w:val="TableBodyText"/>
    <w:rsid w:val="00541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603"/>
    <w:rPr>
      <w:sz w:val="18"/>
    </w:rPr>
  </w:style>
  <w:style w:type="paragraph" w:customStyle="1" w:styleId="BodySmallRight">
    <w:name w:val="Body Small Right"/>
    <w:basedOn w:val="BodyTextRight"/>
    <w:rsid w:val="00541603"/>
    <w:rPr>
      <w:sz w:val="18"/>
      <w:szCs w:val="18"/>
    </w:rPr>
  </w:style>
  <w:style w:type="paragraph" w:customStyle="1" w:styleId="MarginEdition">
    <w:name w:val="Margin Edition"/>
    <w:basedOn w:val="MarginNote"/>
    <w:rsid w:val="00541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603"/>
    <w:rPr>
      <w:sz w:val="2"/>
      <w:szCs w:val="2"/>
    </w:rPr>
  </w:style>
  <w:style w:type="character" w:customStyle="1" w:styleId="Small">
    <w:name w:val="Small"/>
    <w:basedOn w:val="DefaultParagraphFont"/>
    <w:rsid w:val="00541603"/>
    <w:rPr>
      <w:sz w:val="16"/>
    </w:rPr>
  </w:style>
  <w:style w:type="paragraph" w:customStyle="1" w:styleId="WideTable">
    <w:name w:val="Wide Table"/>
    <w:basedOn w:val="Normal"/>
    <w:rsid w:val="00541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603"/>
  </w:style>
  <w:style w:type="paragraph" w:styleId="Quote">
    <w:name w:val="Quote"/>
    <w:basedOn w:val="Heading1"/>
    <w:link w:val="QuoteChar"/>
    <w:qFormat/>
    <w:rsid w:val="00541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603"/>
    <w:pPr>
      <w:pageBreakBefore/>
    </w:pPr>
  </w:style>
  <w:style w:type="paragraph" w:customStyle="1" w:styleId="Border">
    <w:name w:val="Border"/>
    <w:basedOn w:val="Normal"/>
    <w:qFormat/>
    <w:rsid w:val="00541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603"/>
    <w:rPr>
      <w:u w:val="single"/>
    </w:rPr>
  </w:style>
  <w:style w:type="character" w:customStyle="1" w:styleId="BoldandItalics">
    <w:name w:val="Bold and Italics"/>
    <w:qFormat/>
    <w:rsid w:val="00541603"/>
    <w:rPr>
      <w:b/>
      <w:i/>
      <w:u w:val="none"/>
    </w:rPr>
  </w:style>
  <w:style w:type="paragraph" w:styleId="BalloonText">
    <w:name w:val="Balloon Text"/>
    <w:basedOn w:val="Normal"/>
    <w:link w:val="BalloonTextChar"/>
    <w:rsid w:val="00541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603"/>
    <w:pPr>
      <w:spacing w:before="0" w:after="0"/>
    </w:pPr>
  </w:style>
  <w:style w:type="paragraph" w:customStyle="1" w:styleId="BodyTextBold">
    <w:name w:val="Body Text Bold"/>
    <w:basedOn w:val="BodyText"/>
    <w:qFormat/>
    <w:rsid w:val="00541603"/>
    <w:rPr>
      <w:b/>
    </w:rPr>
  </w:style>
  <w:style w:type="character" w:styleId="Hyperlink">
    <w:name w:val="Hyperlink"/>
    <w:basedOn w:val="DefaultParagraphFont"/>
    <w:uiPriority w:val="99"/>
    <w:unhideWhenUsed/>
    <w:rsid w:val="00BA02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3138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DEFFOR003 Gather and analyse electronic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2022-03-23T02:07:00Z</dcterms:created>
  <dcterms:modified xsi:type="dcterms:W3CDTF">2022-03-23T02:07:00Z</dcterms:modified>
</cp:coreProperties>
</file>