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FEF" w:rsidP="002B6FEF">
      <w:pPr>
        <w:pStyle w:val="Title"/>
      </w:pPr>
      <w:r>
        <w:fldChar w:fldCharType="begin"/>
      </w:r>
      <w:r>
        <w:instrText xml:space="preserve"> TITLE   \* MERGEFORMAT </w:instrText>
      </w:r>
      <w:r>
        <w:fldChar w:fldCharType="separate"/>
      </w:r>
      <w:r>
        <w:t>DEFFIN026 Manage public sector financial compliance and assurance</w:t>
      </w:r>
      <w:r>
        <w:fldChar w:fldCharType="end"/>
      </w:r>
    </w:p>
    <w:p w:rsidR="002B6FEF" w:rsidP="002B6FEF">
      <w:pPr>
        <w:pStyle w:val="Version"/>
        <w:sectPr w:rsidSect="00A65C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C73" w:rsidP="00A65C73">
      <w:pPr>
        <w:pStyle w:val="SuperHeading"/>
      </w:pPr>
      <w:r w:rsidRPr="00A65C73">
        <w:t>DEFFIN026 Manage public sector financial compliance and assurance</w:t>
      </w:r>
    </w:p>
    <w:p w:rsidR="00000000" w:rsidRPr="00A65C73" w:rsidP="00A65C73">
      <w:pPr>
        <w:pStyle w:val="Heading1"/>
      </w:pPr>
      <w:bookmarkStart w:id="1" w:name="O_957831"/>
      <w:bookmarkEnd w:id="1"/>
      <w:r w:rsidRPr="00A65C73">
        <w:t>Modification History</w:t>
      </w:r>
    </w:p>
    <w:tbl>
      <w:tblPr>
        <w:tblW w:w="9497" w:type="dxa"/>
        <w:tblLayout w:type="fixed"/>
        <w:tblCellMar>
          <w:left w:w="62" w:type="dxa"/>
          <w:right w:w="62" w:type="dxa"/>
        </w:tblCellMar>
        <w:tblLook w:val="0000"/>
      </w:tblPr>
      <w:tblGrid>
        <w:gridCol w:w="9497"/>
      </w:tblGrid>
      <w:tr w:rsidTr="00A65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Release 1. This is the first release of this unit of competency in the DEF Defence Training Package.</w:t>
            </w:r>
          </w:p>
        </w:tc>
      </w:tr>
    </w:tbl>
    <w:p w:rsidR="00000000" w:rsidRPr="00A65C73" w:rsidP="00A65C73">
      <w:pPr>
        <w:pStyle w:val="NoPaddingFontSize1"/>
      </w:pPr>
    </w:p>
    <w:p w:rsidR="00000000" w:rsidRPr="00A65C73" w:rsidP="00A65C73">
      <w:pPr>
        <w:pStyle w:val="AllowPageBreak"/>
      </w:pPr>
    </w:p>
    <w:p w:rsidR="00000000" w:rsidRPr="00A65C73" w:rsidP="00A65C73">
      <w:pPr>
        <w:pStyle w:val="Heading1"/>
      </w:pPr>
      <w:bookmarkStart w:id="2" w:name="O_957832"/>
      <w:bookmarkEnd w:id="2"/>
      <w:r w:rsidRPr="00A65C73">
        <w:t>Application</w:t>
      </w:r>
    </w:p>
    <w:tbl>
      <w:tblPr>
        <w:tblW w:w="9497" w:type="dxa"/>
        <w:tblLayout w:type="fixed"/>
        <w:tblCellMar>
          <w:left w:w="62" w:type="dxa"/>
          <w:right w:w="62" w:type="dxa"/>
        </w:tblCellMar>
        <w:tblLook w:val="0000"/>
      </w:tblPr>
      <w:tblGrid>
        <w:gridCol w:w="9497"/>
      </w:tblGrid>
      <w:tr w:rsidTr="00A65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This unit describes the skills required to monitor and manage Defence financial governance requirements.</w:t>
            </w:r>
          </w:p>
          <w:p w:rsidR="00000000" w:rsidRPr="00A65C73" w:rsidP="00A65C73">
            <w:pPr>
              <w:pStyle w:val="BodyText"/>
            </w:pPr>
            <w:r w:rsidRPr="00A65C73">
              <w:t>This unit applies to those working in the public sector Finance Domain who would be required to undertake financial administration activities.</w:t>
            </w:r>
          </w:p>
          <w:p w:rsidR="00000000" w:rsidRPr="00A65C73" w:rsidP="00A65C73">
            <w:pPr>
              <w:pStyle w:val="BodyText"/>
            </w:pPr>
            <w:r w:rsidRPr="00A65C73">
              <w:t>The skil</w:t>
            </w:r>
            <w:r w:rsidRPr="00A65C73">
              <w:t>ls and knowledge described in this unit must be applied within the legislative, regulatory and policy environment in which they are carried out. Organisational policies and procedures must be consulted and adhered to, particularly those related to financia</w:t>
            </w:r>
            <w:r w:rsidRPr="00A65C73">
              <w:t>l management.</w:t>
            </w:r>
          </w:p>
          <w:p w:rsidR="00000000" w:rsidRPr="00A65C73" w:rsidP="00A65C73">
            <w:pPr>
              <w:pStyle w:val="BodyText"/>
            </w:pPr>
            <w:r w:rsidRPr="00A65C73">
              <w:t>Those undertaking this unit would be working under minimal supervision and/or supervising small teams while undertaking financial management tasks. They would perform complex tasks in familiar context.</w:t>
            </w:r>
          </w:p>
          <w:p w:rsidR="00000000" w:rsidRPr="00A65C73" w:rsidP="00A65C73">
            <w:pPr>
              <w:pStyle w:val="BodyText"/>
            </w:pPr>
            <w:r w:rsidRPr="00A65C73">
              <w:t>No licensing, legislative or certificati</w:t>
            </w:r>
            <w:r w:rsidRPr="00A65C73">
              <w:t>on requirements apply to this unit at the time of publication.</w:t>
            </w:r>
          </w:p>
        </w:tc>
      </w:tr>
    </w:tbl>
    <w:p w:rsidR="00000000" w:rsidRPr="00A65C73" w:rsidP="00A65C73">
      <w:pPr>
        <w:pStyle w:val="NoPaddingFontSize1"/>
      </w:pPr>
    </w:p>
    <w:p w:rsidR="00000000" w:rsidRPr="00A65C73" w:rsidP="00A65C73">
      <w:pPr>
        <w:pStyle w:val="AllowPageBreak"/>
      </w:pPr>
    </w:p>
    <w:p w:rsidR="00000000" w:rsidRPr="00A65C73" w:rsidP="00A65C73">
      <w:pPr>
        <w:pStyle w:val="Heading1"/>
      </w:pPr>
      <w:bookmarkStart w:id="3" w:name="O_957833"/>
      <w:bookmarkEnd w:id="3"/>
      <w:r w:rsidRPr="00A65C73">
        <w:t>Pre-requisite Unit</w:t>
      </w:r>
    </w:p>
    <w:tbl>
      <w:tblPr>
        <w:tblW w:w="9497" w:type="dxa"/>
        <w:tblLayout w:type="fixed"/>
        <w:tblCellMar>
          <w:left w:w="62" w:type="dxa"/>
          <w:right w:w="62" w:type="dxa"/>
        </w:tblCellMar>
        <w:tblLook w:val="0000"/>
      </w:tblPr>
      <w:tblGrid>
        <w:gridCol w:w="9497"/>
      </w:tblGrid>
      <w:tr w:rsidTr="00A65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Not applicable.</w:t>
            </w:r>
          </w:p>
        </w:tc>
      </w:tr>
    </w:tbl>
    <w:p w:rsidR="00000000" w:rsidRPr="00A65C73" w:rsidP="00A65C73">
      <w:pPr>
        <w:pStyle w:val="NoPaddingFontSize1"/>
      </w:pPr>
    </w:p>
    <w:p w:rsidR="00000000" w:rsidRPr="00A65C73" w:rsidP="00A65C73">
      <w:pPr>
        <w:pStyle w:val="AllowPageBreak"/>
      </w:pPr>
    </w:p>
    <w:p w:rsidR="00000000" w:rsidRPr="00A65C73" w:rsidP="00A65C73">
      <w:pPr>
        <w:pStyle w:val="Heading1"/>
      </w:pPr>
      <w:bookmarkStart w:id="4" w:name="O_957834"/>
      <w:bookmarkEnd w:id="4"/>
      <w:r w:rsidRPr="00A65C73">
        <w:t>Competency Field</w:t>
      </w:r>
    </w:p>
    <w:tbl>
      <w:tblPr>
        <w:tblW w:w="9497" w:type="dxa"/>
        <w:tblLayout w:type="fixed"/>
        <w:tblCellMar>
          <w:left w:w="62" w:type="dxa"/>
          <w:right w:w="62" w:type="dxa"/>
        </w:tblCellMar>
        <w:tblLook w:val="0000"/>
      </w:tblPr>
      <w:tblGrid>
        <w:gridCol w:w="9497"/>
      </w:tblGrid>
      <w:tr w:rsidTr="00A65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Financial Management</w:t>
            </w:r>
          </w:p>
        </w:tc>
      </w:tr>
    </w:tbl>
    <w:p w:rsidR="00000000" w:rsidRPr="00A65C73" w:rsidP="00A65C73">
      <w:pPr>
        <w:pStyle w:val="NoPaddingFontSize1"/>
      </w:pPr>
    </w:p>
    <w:p w:rsidR="00000000" w:rsidRPr="00A65C73" w:rsidP="00A65C73">
      <w:pPr>
        <w:pStyle w:val="AllowPageBreak"/>
      </w:pPr>
    </w:p>
    <w:p w:rsidR="00000000" w:rsidRPr="00A65C73" w:rsidP="00A65C73">
      <w:pPr>
        <w:pStyle w:val="Heading1"/>
      </w:pPr>
      <w:bookmarkStart w:id="5" w:name="O_957835"/>
      <w:bookmarkEnd w:id="5"/>
      <w:r w:rsidRPr="00A65C73">
        <w:t>Unit Sector</w:t>
      </w:r>
    </w:p>
    <w:tbl>
      <w:tblPr>
        <w:tblW w:w="9497" w:type="dxa"/>
        <w:tblLayout w:type="fixed"/>
        <w:tblCellMar>
          <w:left w:w="62" w:type="dxa"/>
          <w:right w:w="62" w:type="dxa"/>
        </w:tblCellMar>
        <w:tblLook w:val="0000"/>
      </w:tblPr>
      <w:tblGrid>
        <w:gridCol w:w="9497"/>
      </w:tblGrid>
      <w:tr w:rsidTr="00A65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Not applicable.</w:t>
            </w:r>
          </w:p>
        </w:tc>
      </w:tr>
    </w:tbl>
    <w:p w:rsidR="00000000" w:rsidRPr="00A65C73" w:rsidP="00A65C73">
      <w:pPr>
        <w:pStyle w:val="NoPaddingFontSize1"/>
      </w:pPr>
    </w:p>
    <w:p w:rsidR="00000000" w:rsidRPr="00A65C73" w:rsidP="00A65C73">
      <w:pPr>
        <w:pStyle w:val="AllowPageBreak"/>
      </w:pPr>
    </w:p>
    <w:p w:rsidR="00000000" w:rsidRPr="00A65C73" w:rsidP="00A65C73">
      <w:pPr>
        <w:pStyle w:val="Heading1"/>
      </w:pPr>
      <w:bookmarkStart w:id="6" w:name="O_957836"/>
      <w:bookmarkEnd w:id="6"/>
      <w:r w:rsidRPr="00A65C7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65C7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PERFORMANCE CRITERIA</w:t>
            </w:r>
          </w:p>
        </w:tc>
      </w:tr>
      <w:tr w:rsidTr="00A65C7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Performance criteria describe the performance needed to demonstrate achievement of the element.</w:t>
            </w:r>
          </w:p>
        </w:tc>
      </w:tr>
      <w:tr w:rsidTr="00A65C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rPr>
                <w:rStyle w:val="SpecialBold"/>
              </w:rPr>
              <w:t>Review financial governance requirements</w:t>
            </w:r>
          </w:p>
        </w:tc>
        <w:tc>
          <w:tcPr>
            <w:tcW w:w="697"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Identify and analyse corporate governance and ethical requirements to determine application to operations</w:t>
            </w:r>
          </w:p>
        </w:tc>
      </w:tr>
      <w:tr w:rsidTr="00A65C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5C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Review internal control procedures</w:t>
            </w:r>
          </w:p>
        </w:tc>
      </w:tr>
      <w:tr w:rsidTr="00A65C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rPr>
                <w:rStyle w:val="SpecialBold"/>
              </w:rPr>
              <w:t>Monitor adherence to compliance requirements</w:t>
            </w:r>
          </w:p>
        </w:tc>
        <w:tc>
          <w:tcPr>
            <w:tcW w:w="697"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Monitor and evaluate organisation operations to identify incidences of non-compliance</w:t>
            </w:r>
          </w:p>
        </w:tc>
      </w:tr>
      <w:tr w:rsidTr="00A65C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5C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Review and evaluate sources of information on potential non-compliance</w:t>
            </w:r>
          </w:p>
        </w:tc>
      </w:tr>
      <w:tr w:rsidTr="00A65C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5C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Interrogate financial management information system to identify any indication of non</w:t>
            </w:r>
            <w:r w:rsidRPr="00A65C73">
              <w:t>-compliance</w:t>
            </w:r>
          </w:p>
        </w:tc>
      </w:tr>
      <w:tr w:rsidTr="00A65C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rPr>
                <w:rStyle w:val="SpecialBold"/>
              </w:rPr>
              <w:t>Liaise with others during breach management</w:t>
            </w:r>
          </w:p>
        </w:tc>
        <w:tc>
          <w:tcPr>
            <w:tcW w:w="697"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Maintain liaison with relevant regulatory authorities and other organisations</w:t>
            </w:r>
          </w:p>
        </w:tc>
      </w:tr>
      <w:tr w:rsidTr="00A65C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5C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Seek advice from relevant internal and externa</w:t>
            </w:r>
            <w:r w:rsidRPr="00A65C73">
              <w:t>l personnel on the classification and management of non-compliance</w:t>
            </w:r>
          </w:p>
        </w:tc>
      </w:tr>
      <w:tr w:rsidTr="00A65C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rPr>
                <w:rStyle w:val="SpecialBold"/>
              </w:rPr>
              <w:t>Monitor policy</w:t>
            </w:r>
          </w:p>
        </w:tc>
        <w:tc>
          <w:tcPr>
            <w:tcW w:w="697"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Develop and report on performance indicators to evaluate compliance with internal control procedures</w:t>
            </w:r>
          </w:p>
        </w:tc>
      </w:tr>
      <w:tr w:rsidTr="00A65C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5C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t>Identify and evaluate variations in adoption of financial governance requirements in operations</w:t>
            </w:r>
          </w:p>
        </w:tc>
      </w:tr>
      <w:tr w:rsidTr="00A65C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5C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5C73">
            <w:pPr>
              <w:pStyle w:val="BodyText"/>
              <w:rPr>
                <w:lang w:val="en-NZ"/>
              </w:rPr>
            </w:pPr>
            <w:r w:rsidRPr="00A65C7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Develop and implement solutions to facilitate compliance with internal control procedures</w:t>
            </w:r>
          </w:p>
        </w:tc>
      </w:tr>
    </w:tbl>
    <w:p w:rsidR="00000000" w:rsidRPr="00A65C73" w:rsidP="00A65C73">
      <w:pPr>
        <w:pStyle w:val="NoPaddingFontSize1"/>
      </w:pPr>
    </w:p>
    <w:p w:rsidR="00000000" w:rsidRPr="00A65C73" w:rsidP="00A65C73">
      <w:pPr>
        <w:pStyle w:val="AllowPageBreak"/>
      </w:pPr>
    </w:p>
    <w:p w:rsidR="00000000" w:rsidRPr="00A65C73" w:rsidP="00A65C73">
      <w:pPr>
        <w:pStyle w:val="Heading1"/>
      </w:pPr>
      <w:bookmarkStart w:id="7" w:name="O_957837"/>
      <w:bookmarkEnd w:id="7"/>
      <w:r w:rsidRPr="00A65C73">
        <w:t>Foundation Skills</w:t>
      </w:r>
    </w:p>
    <w:tbl>
      <w:tblPr>
        <w:tblW w:w="9497" w:type="dxa"/>
        <w:tblLayout w:type="fixed"/>
        <w:tblCellMar>
          <w:left w:w="62" w:type="dxa"/>
          <w:right w:w="62" w:type="dxa"/>
        </w:tblCellMar>
        <w:tblLook w:val="0000"/>
      </w:tblPr>
      <w:tblGrid>
        <w:gridCol w:w="9497"/>
      </w:tblGrid>
      <w:tr w:rsidTr="00A65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Foundation skills essentia</w:t>
            </w:r>
            <w:r w:rsidRPr="00A65C73">
              <w:t>l to performance are explicit in the performance criteria of this unit of competency.</w:t>
            </w:r>
          </w:p>
        </w:tc>
      </w:tr>
    </w:tbl>
    <w:p w:rsidR="00000000" w:rsidRPr="00A65C73" w:rsidP="00A65C73">
      <w:pPr>
        <w:pStyle w:val="NoPaddingFontSize1"/>
      </w:pPr>
    </w:p>
    <w:p w:rsidR="00000000" w:rsidRPr="00A65C73" w:rsidP="00A65C73">
      <w:pPr>
        <w:pStyle w:val="AllowPageBreak"/>
      </w:pPr>
    </w:p>
    <w:p w:rsidR="00000000" w:rsidRPr="00A65C73" w:rsidP="00A65C73">
      <w:pPr>
        <w:pStyle w:val="Heading1"/>
      </w:pPr>
      <w:bookmarkStart w:id="8" w:name="O_957838"/>
      <w:bookmarkEnd w:id="8"/>
      <w:r w:rsidRPr="00A65C73">
        <w:t>Range of Conditions</w:t>
      </w:r>
    </w:p>
    <w:tbl>
      <w:tblPr>
        <w:tblW w:w="9497" w:type="dxa"/>
        <w:tblLayout w:type="fixed"/>
        <w:tblCellMar>
          <w:left w:w="62" w:type="dxa"/>
          <w:right w:w="62" w:type="dxa"/>
        </w:tblCellMar>
        <w:tblLook w:val="0000"/>
      </w:tblPr>
      <w:tblGrid>
        <w:gridCol w:w="9497"/>
      </w:tblGrid>
      <w:tr w:rsidTr="00A65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Range is restricted to essential operating conditions and any other variables essential to the work environment.</w:t>
            </w:r>
          </w:p>
          <w:p w:rsidR="00000000" w:rsidRPr="00A65C73" w:rsidP="00A65C73">
            <w:pPr>
              <w:pStyle w:val="BodyText"/>
            </w:pPr>
            <w:r w:rsidRPr="00A65C73">
              <w:t>Non-essential conditions may be found in the Companion Volume Implementation Guide.</w:t>
            </w:r>
          </w:p>
        </w:tc>
      </w:tr>
    </w:tbl>
    <w:p w:rsidR="00000000" w:rsidRPr="00A65C73" w:rsidP="00A65C73">
      <w:pPr>
        <w:pStyle w:val="NoPaddingFontSize1"/>
      </w:pPr>
    </w:p>
    <w:p w:rsidR="00000000" w:rsidRPr="00A65C73" w:rsidP="00A65C73">
      <w:pPr>
        <w:pStyle w:val="AllowPageBreak"/>
      </w:pPr>
    </w:p>
    <w:p w:rsidR="00000000" w:rsidRPr="00A65C73" w:rsidP="00A65C73">
      <w:pPr>
        <w:pStyle w:val="Heading1"/>
      </w:pPr>
      <w:bookmarkStart w:id="9" w:name="O_957839"/>
      <w:bookmarkEnd w:id="9"/>
      <w:r w:rsidRPr="00A65C73">
        <w:t>Unit Mapping Information</w:t>
      </w:r>
    </w:p>
    <w:tbl>
      <w:tblPr>
        <w:tblW w:w="9497" w:type="dxa"/>
        <w:tblLayout w:type="fixed"/>
        <w:tblCellMar>
          <w:left w:w="62" w:type="dxa"/>
          <w:right w:w="62" w:type="dxa"/>
        </w:tblCellMar>
        <w:tblLook w:val="0000"/>
      </w:tblPr>
      <w:tblGrid>
        <w:gridCol w:w="9497"/>
      </w:tblGrid>
      <w:tr w:rsidTr="00A65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No equivalent unit.</w:t>
            </w:r>
          </w:p>
        </w:tc>
      </w:tr>
    </w:tbl>
    <w:p w:rsidR="00000000" w:rsidRPr="00A65C73" w:rsidP="00A65C73">
      <w:pPr>
        <w:pStyle w:val="NoPaddingFontSize1"/>
      </w:pPr>
    </w:p>
    <w:p w:rsidR="00000000" w:rsidRPr="00A65C73" w:rsidP="00A65C73">
      <w:pPr>
        <w:pStyle w:val="AllowPageBreak"/>
      </w:pPr>
    </w:p>
    <w:p w:rsidR="00000000" w:rsidRPr="00A65C73" w:rsidP="00A65C73">
      <w:pPr>
        <w:pStyle w:val="Heading1"/>
      </w:pPr>
      <w:bookmarkStart w:id="10" w:name="O_957846"/>
      <w:bookmarkEnd w:id="10"/>
      <w:r w:rsidRPr="00A65C73">
        <w:t>Links</w:t>
      </w:r>
    </w:p>
    <w:p w:rsidR="00000000" w:rsidRPr="00A65C73" w:rsidP="002B6FEF">
      <w:pPr>
        <w:pStyle w:val="BodyText"/>
      </w:pPr>
      <w:r w:rsidRPr="00A65C7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6731B">
        <w:rPr>
          <w:rStyle w:val="Hyperlink"/>
        </w:rPr>
        <w:t>https://vetnet.gov.au/Pages/TrainingDocs.aspx?q=6bdbab1e-11ed-4bc9-9cba-9e1a55d4e4a9</w:t>
      </w:r>
      <w:r>
        <w:fldChar w:fldCharType="end"/>
      </w:r>
    </w:p>
    <w:p w:rsidR="00000000" w:rsidRPr="00A65C73" w:rsidP="002B6FEF">
      <w:pPr>
        <w:pStyle w:val="BodyText"/>
        <w:sectPr w:rsidSect="00A65C73">
          <w:headerReference w:type="default" r:id="rId10"/>
          <w:footerReference w:type="default" r:id="rId11"/>
          <w:pgSz w:w="11908" w:h="16833"/>
          <w:pgMar w:top="1702" w:right="1418" w:bottom="1702" w:left="1418" w:header="992" w:footer="992" w:gutter="0"/>
          <w:cols w:space="720"/>
          <w:noEndnote/>
          <w:docGrid w:linePitch="299"/>
        </w:sectPr>
      </w:pPr>
    </w:p>
    <w:p w:rsidR="00000000" w:rsidRPr="00A65C73" w:rsidP="00A65C73">
      <w:pPr>
        <w:pStyle w:val="SuperHeading"/>
      </w:pPr>
      <w:r w:rsidRPr="00A65C73">
        <w:t>Assessment Requirements for DEFFIN026 Manage public sector financial compliance and assurance</w:t>
      </w:r>
    </w:p>
    <w:p w:rsidR="00000000" w:rsidRPr="00A65C73" w:rsidP="00A65C73">
      <w:pPr>
        <w:pStyle w:val="Heading1"/>
      </w:pPr>
      <w:bookmarkStart w:id="11" w:name="O_957841"/>
      <w:bookmarkEnd w:id="11"/>
      <w:r w:rsidRPr="00A65C73">
        <w:t>Modification History</w:t>
      </w:r>
    </w:p>
    <w:tbl>
      <w:tblPr>
        <w:tblW w:w="9497" w:type="dxa"/>
        <w:tblLayout w:type="fixed"/>
        <w:tblCellMar>
          <w:left w:w="62" w:type="dxa"/>
          <w:right w:w="62" w:type="dxa"/>
        </w:tblCellMar>
        <w:tblLook w:val="0000"/>
      </w:tblPr>
      <w:tblGrid>
        <w:gridCol w:w="9497"/>
      </w:tblGrid>
      <w:tr w:rsidTr="00A65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Release 1. This is the first release of this unit of competency in the DEF Defence Training Package.</w:t>
            </w:r>
          </w:p>
        </w:tc>
      </w:tr>
    </w:tbl>
    <w:p w:rsidR="00000000" w:rsidRPr="00A65C73" w:rsidP="00A65C73">
      <w:pPr>
        <w:pStyle w:val="NoPaddingFontSize1"/>
      </w:pPr>
    </w:p>
    <w:p w:rsidR="00000000" w:rsidRPr="00A65C73" w:rsidP="00A65C73">
      <w:pPr>
        <w:pStyle w:val="AllowPageBreak"/>
      </w:pPr>
    </w:p>
    <w:p w:rsidR="00000000" w:rsidRPr="00A65C73" w:rsidP="00A65C73">
      <w:pPr>
        <w:pStyle w:val="Heading1"/>
      </w:pPr>
      <w:bookmarkStart w:id="12" w:name="O_957842"/>
      <w:bookmarkEnd w:id="12"/>
      <w:r w:rsidRPr="00A65C73">
        <w:t>Performance Evidence</w:t>
      </w:r>
    </w:p>
    <w:tbl>
      <w:tblPr>
        <w:tblW w:w="9497" w:type="dxa"/>
        <w:tblLayout w:type="fixed"/>
        <w:tblCellMar>
          <w:left w:w="62" w:type="dxa"/>
          <w:right w:w="62" w:type="dxa"/>
        </w:tblCellMar>
        <w:tblLook w:val="0000"/>
      </w:tblPr>
      <w:tblGrid>
        <w:gridCol w:w="9497"/>
      </w:tblGrid>
      <w:tr w:rsidTr="00A65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Evidence required to demonstrate competence in this unit must be relevant to and satisfy all of the requirements of</w:t>
            </w:r>
            <w:r w:rsidRPr="00A65C73">
              <w:t xml:space="preserve"> the elements and performance criteria on at least one occasion and include:</w:t>
            </w:r>
          </w:p>
          <w:p w:rsidR="00000000" w:rsidRPr="00A65C73" w:rsidP="00A65C73">
            <w:pPr>
              <w:pStyle w:val="ListBullet"/>
            </w:pPr>
            <w:r w:rsidRPr="00A65C73">
              <w:t>developing processes for managing financial non-compliance</w:t>
            </w:r>
          </w:p>
          <w:p w:rsidR="00000000" w:rsidRPr="00A65C73" w:rsidP="00A65C73">
            <w:pPr>
              <w:pStyle w:val="ListBullet"/>
            </w:pPr>
            <w:r w:rsidRPr="00A65C73">
              <w:t>implementing control measures to address non-compliances</w:t>
            </w:r>
          </w:p>
          <w:p w:rsidR="00000000" w:rsidRPr="00A65C73" w:rsidP="00A65C73">
            <w:pPr>
              <w:pStyle w:val="ListBullet"/>
            </w:pPr>
            <w:r w:rsidRPr="00A65C73">
              <w:t>monitoring the financial compliance to requirements, including</w:t>
            </w:r>
            <w:r w:rsidRPr="00A65C73">
              <w:t>:</w:t>
            </w:r>
          </w:p>
          <w:p w:rsidR="00000000" w:rsidRPr="00A65C73" w:rsidP="00A65C73">
            <w:pPr>
              <w:pStyle w:val="ListBullet2"/>
            </w:pPr>
            <w:r w:rsidRPr="00A65C73">
              <w:t>interrogating information systems</w:t>
            </w:r>
          </w:p>
          <w:p w:rsidR="00000000" w:rsidRPr="00A65C73" w:rsidP="00A65C73">
            <w:pPr>
              <w:pStyle w:val="ListBullet2"/>
            </w:pPr>
            <w:r w:rsidRPr="00A65C73">
              <w:t>identifying and informing senior management and regulatory authorities of non-compliance</w:t>
            </w:r>
          </w:p>
          <w:p w:rsidR="00000000" w:rsidRPr="00A65C73" w:rsidP="00A65C73">
            <w:pPr>
              <w:pStyle w:val="ListBullet2"/>
            </w:pPr>
            <w:r w:rsidRPr="00A65C73">
              <w:t>seeking advice from internal and external personnel</w:t>
            </w:r>
          </w:p>
          <w:p w:rsidR="00000000" w:rsidRPr="00A65C73" w:rsidP="00A65C73">
            <w:pPr>
              <w:pStyle w:val="ListBullet2"/>
            </w:pPr>
            <w:r w:rsidRPr="00A65C73">
              <w:t>investigating incidences of non-compliance</w:t>
            </w:r>
          </w:p>
          <w:p w:rsidR="00000000" w:rsidRPr="00A65C73" w:rsidP="00A65C73">
            <w:pPr>
              <w:pStyle w:val="ListBullet"/>
            </w:pPr>
            <w:r w:rsidRPr="00A65C73">
              <w:t>obtaining and keeping up to date with financial compliance requirements</w:t>
            </w:r>
          </w:p>
          <w:p w:rsidR="00000000" w:rsidRPr="00A65C73" w:rsidP="00A65C73">
            <w:pPr>
              <w:pStyle w:val="ListBullet"/>
            </w:pPr>
            <w:r w:rsidRPr="00A65C73">
              <w:t>reporting non-compliances identified.</w:t>
            </w:r>
          </w:p>
        </w:tc>
      </w:tr>
    </w:tbl>
    <w:p w:rsidR="00000000" w:rsidRPr="00A65C73" w:rsidP="00A65C73">
      <w:pPr>
        <w:pStyle w:val="NoPaddingFontSize1"/>
      </w:pPr>
    </w:p>
    <w:p w:rsidR="00000000" w:rsidRPr="00A65C73" w:rsidP="00A65C73">
      <w:pPr>
        <w:pStyle w:val="AllowPageBreak"/>
      </w:pPr>
    </w:p>
    <w:p w:rsidR="00000000" w:rsidRPr="00A65C73" w:rsidP="00A65C73">
      <w:pPr>
        <w:pStyle w:val="Heading1"/>
      </w:pPr>
      <w:bookmarkStart w:id="13" w:name="O_957843"/>
      <w:bookmarkEnd w:id="13"/>
      <w:r w:rsidRPr="00A65C73">
        <w:t>Knowledge Evidence</w:t>
      </w:r>
    </w:p>
    <w:tbl>
      <w:tblPr>
        <w:tblW w:w="9497" w:type="dxa"/>
        <w:tblLayout w:type="fixed"/>
        <w:tblCellMar>
          <w:left w:w="62" w:type="dxa"/>
          <w:right w:w="62" w:type="dxa"/>
        </w:tblCellMar>
        <w:tblLook w:val="0000"/>
      </w:tblPr>
      <w:tblGrid>
        <w:gridCol w:w="9497"/>
      </w:tblGrid>
      <w:tr w:rsidTr="00A65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Evidence required to demonstrate competence in this unit must be relevant to and satisfy all of the requirements of the elements and performance criteria and include knowledge of:</w:t>
            </w:r>
          </w:p>
          <w:p w:rsidR="00000000" w:rsidRPr="00A65C73" w:rsidP="00A65C73">
            <w:pPr>
              <w:pStyle w:val="ListBullet"/>
            </w:pPr>
            <w:r w:rsidRPr="00A65C73">
              <w:t>analysis techniques relevant to review and interpret an identified non-comp</w:t>
            </w:r>
            <w:r w:rsidRPr="00A65C73">
              <w:t>liance</w:t>
            </w:r>
          </w:p>
          <w:p w:rsidR="00000000" w:rsidRPr="00A65C73" w:rsidP="00A65C73">
            <w:pPr>
              <w:pStyle w:val="ListBullet"/>
            </w:pPr>
            <w:r w:rsidRPr="00A65C73">
              <w:t>compliance requirements applicable to the organisation</w:t>
            </w:r>
          </w:p>
          <w:p w:rsidR="00000000" w:rsidRPr="00A65C73" w:rsidP="00A65C73">
            <w:pPr>
              <w:pStyle w:val="ListBullet"/>
            </w:pPr>
            <w:r w:rsidRPr="00A65C73">
              <w:t>elements of a compliance management system</w:t>
            </w:r>
          </w:p>
          <w:p w:rsidR="00000000" w:rsidRPr="00A65C73" w:rsidP="00A65C73">
            <w:pPr>
              <w:pStyle w:val="ListBullet"/>
            </w:pPr>
            <w:r w:rsidRPr="00A65C73">
              <w:t>financial compliance responsibilities</w:t>
            </w:r>
          </w:p>
          <w:p w:rsidR="00000000" w:rsidRPr="00A65C73" w:rsidP="00A65C73">
            <w:pPr>
              <w:pStyle w:val="ListBullet"/>
            </w:pPr>
            <w:r w:rsidRPr="00A65C73">
              <w:t>organisational standards for operations and ethics</w:t>
            </w:r>
          </w:p>
          <w:p w:rsidR="00000000" w:rsidRPr="00A65C73" w:rsidP="00A65C73">
            <w:pPr>
              <w:pStyle w:val="ListBullet"/>
            </w:pPr>
            <w:r w:rsidRPr="00A65C73">
              <w:t>potential incidences of non-compliance</w:t>
            </w:r>
          </w:p>
          <w:p w:rsidR="00000000" w:rsidRPr="00A65C73" w:rsidP="00A65C73">
            <w:pPr>
              <w:pStyle w:val="ListBullet"/>
            </w:pPr>
            <w:r w:rsidRPr="00A65C73">
              <w:t>procedures for managing</w:t>
            </w:r>
            <w:r w:rsidRPr="00A65C73">
              <w:t xml:space="preserve"> incidences of non-compliance requirements</w:t>
            </w:r>
          </w:p>
          <w:p w:rsidR="00000000" w:rsidRPr="00A65C73" w:rsidP="00A65C73">
            <w:pPr>
              <w:pStyle w:val="ListBullet"/>
            </w:pPr>
            <w:r w:rsidRPr="00A65C73">
              <w:t>relevant legislation and organisational policies and procedures</w:t>
            </w:r>
          </w:p>
          <w:p w:rsidR="00000000" w:rsidRPr="00A65C73" w:rsidP="00A65C73">
            <w:pPr>
              <w:pStyle w:val="ListBullet"/>
            </w:pPr>
            <w:r w:rsidRPr="00A65C73">
              <w:t>reporting processes on compliance management, including reports on non-compliance and remediation.</w:t>
            </w:r>
          </w:p>
        </w:tc>
      </w:tr>
    </w:tbl>
    <w:p w:rsidR="00000000" w:rsidRPr="00A65C73" w:rsidP="00A65C73">
      <w:pPr>
        <w:pStyle w:val="NoPaddingFontSize1"/>
      </w:pPr>
    </w:p>
    <w:p w:rsidR="00000000" w:rsidRPr="00A65C73" w:rsidP="00A65C73">
      <w:pPr>
        <w:pStyle w:val="AllowPageBreak"/>
      </w:pPr>
    </w:p>
    <w:p w:rsidR="00000000" w:rsidRPr="00A65C73" w:rsidP="00A65C73">
      <w:pPr>
        <w:pStyle w:val="Heading1"/>
      </w:pPr>
      <w:bookmarkStart w:id="14" w:name="O_957844"/>
      <w:bookmarkEnd w:id="14"/>
      <w:r w:rsidRPr="00A65C73">
        <w:t>Assessment Conditions</w:t>
      </w:r>
    </w:p>
    <w:tbl>
      <w:tblPr>
        <w:tblW w:w="9497" w:type="dxa"/>
        <w:tblLayout w:type="fixed"/>
        <w:tblCellMar>
          <w:left w:w="62" w:type="dxa"/>
          <w:right w:w="62" w:type="dxa"/>
        </w:tblCellMar>
        <w:tblLook w:val="0000"/>
      </w:tblPr>
      <w:tblGrid>
        <w:gridCol w:w="9497"/>
      </w:tblGrid>
      <w:tr w:rsidTr="00A65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C73" w:rsidP="00A65C73">
            <w:pPr>
              <w:pStyle w:val="BodyText"/>
            </w:pPr>
            <w:r w:rsidRPr="00A65C73">
              <w:t>As a minimum, assessors must satisfy applicable regulatory requirements, which include requirements in the Standards for Registered Training Organisations, current at the time of assessment.</w:t>
            </w:r>
          </w:p>
          <w:p w:rsidR="00000000" w:rsidRPr="00A65C73" w:rsidP="00A65C73">
            <w:pPr>
              <w:pStyle w:val="BodyText"/>
            </w:pPr>
            <w:r w:rsidRPr="00A65C73">
              <w:t>As a minimum, assessment must satisfy applicable regulatory requi</w:t>
            </w:r>
            <w:r w:rsidRPr="00A65C73">
              <w:t>rements, which include requirements in the Standards for Registered Training Organisations, current at the time of assessment.</w:t>
            </w:r>
          </w:p>
          <w:p w:rsidR="00000000" w:rsidRPr="00A65C73" w:rsidP="00A65C73">
            <w:pPr>
              <w:pStyle w:val="BodyText"/>
            </w:pPr>
            <w:r w:rsidRPr="00A65C73">
              <w:t>Assessment must occur in workplace operational situations where it is appropriate to do so; where this is not appropriate, assess</w:t>
            </w:r>
            <w:r w:rsidRPr="00A65C73">
              <w:t>ment must occur in simulated workplace operational situations that replicate workplace conditions.</w:t>
            </w:r>
          </w:p>
          <w:p w:rsidR="00000000" w:rsidRPr="00A65C73" w:rsidP="00A65C73">
            <w:pPr>
              <w:pStyle w:val="BodyText"/>
            </w:pPr>
            <w:r w:rsidRPr="00A65C73">
              <w:t xml:space="preserve">Assessment processes and techniques must be appropriate to the language, literacy and numeracy requirements of the work being performed and the needs of the </w:t>
            </w:r>
            <w:r w:rsidRPr="00A65C73">
              <w:t>candidate.</w:t>
            </w:r>
          </w:p>
          <w:p w:rsidR="00000000" w:rsidRPr="00A65C73" w:rsidP="00A65C73">
            <w:pPr>
              <w:pStyle w:val="BodyText"/>
            </w:pPr>
            <w:r w:rsidRPr="00A65C73">
              <w:t>Resources for assessment must include access to:</w:t>
            </w:r>
          </w:p>
          <w:p w:rsidR="00000000" w:rsidRPr="00A65C73" w:rsidP="00A65C73">
            <w:pPr>
              <w:pStyle w:val="ListBullet"/>
            </w:pPr>
            <w:r w:rsidRPr="00A65C73">
              <w:t>a range of relevant exercises, case studies and/or other simulations</w:t>
            </w:r>
          </w:p>
          <w:p w:rsidR="00000000" w:rsidRPr="00A65C73" w:rsidP="00A65C73">
            <w:pPr>
              <w:pStyle w:val="ListBullet"/>
            </w:pPr>
            <w:r w:rsidRPr="00A65C73">
              <w:t>relevant and appropriate materials, tools, equipment and personal protective equipment (PPE) currently used in industry</w:t>
            </w:r>
          </w:p>
          <w:p w:rsidR="00000000" w:rsidRPr="00A65C73" w:rsidP="00A65C73">
            <w:pPr>
              <w:pStyle w:val="ListBullet"/>
            </w:pPr>
            <w:r w:rsidRPr="00A65C73">
              <w:t>applic</w:t>
            </w:r>
            <w:r w:rsidRPr="00A65C73">
              <w:t>able documentation, including workplace procedures, regulations, codes of practice and operation manuals</w:t>
            </w:r>
          </w:p>
          <w:p w:rsidR="00000000" w:rsidRPr="00A65C73" w:rsidP="00A65C73">
            <w:pPr>
              <w:pStyle w:val="ListBullet"/>
            </w:pPr>
            <w:r w:rsidRPr="00A65C73">
              <w:t>acceptable means of simulated assessment.</w:t>
            </w:r>
          </w:p>
        </w:tc>
      </w:tr>
    </w:tbl>
    <w:p w:rsidR="00000000" w:rsidRPr="00A65C73" w:rsidP="00A65C73">
      <w:pPr>
        <w:pStyle w:val="NoPaddingFontSize1"/>
      </w:pPr>
    </w:p>
    <w:p w:rsidR="00000000" w:rsidRPr="00A65C73" w:rsidP="00A65C73">
      <w:pPr>
        <w:pStyle w:val="AllowPageBreak"/>
      </w:pPr>
    </w:p>
    <w:p w:rsidR="00000000" w:rsidRPr="00A65C73" w:rsidP="00A65C73">
      <w:pPr>
        <w:pStyle w:val="Heading1"/>
      </w:pPr>
      <w:bookmarkStart w:id="15" w:name="O_957847"/>
      <w:bookmarkEnd w:id="15"/>
      <w:r w:rsidRPr="00A65C73">
        <w:t>Links</w:t>
      </w:r>
    </w:p>
    <w:p w:rsidR="00000000" w:rsidRPr="00A65C73" w:rsidP="002B6FEF">
      <w:pPr>
        <w:pStyle w:val="BodyText"/>
      </w:pPr>
      <w:r w:rsidRPr="00A65C7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6731B">
        <w:rPr>
          <w:rStyle w:val="Hyperlink"/>
        </w:rPr>
        <w:t>https://vetnet.gov.au/Pages/TrainingDocs.aspx?q=6bdbab1e-11ed-4bc9-9cba-9e1a55d4e4a9</w:t>
      </w:r>
      <w:r>
        <w:fldChar w:fldCharType="end"/>
      </w:r>
    </w:p>
    <w:p w:rsidR="00000000" w:rsidRPr="00A65C73" w:rsidP="00A65C73"/>
    <w:sectPr w:rsidSect="00A65C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73" w:rsidRPr="002B6FEF" w:rsidP="002B6F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FEF" w:rsidP="00A65C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6FEF" w:rsidP="00A65C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B6FEF" w:rsidP="00A65C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73" w:rsidP="00A65C73">
    <w:pPr>
      <w:pStyle w:val="Footer"/>
      <w:framePr w:wrap="around"/>
    </w:pPr>
    <w:r>
      <w:fldChar w:fldCharType="begin"/>
    </w:r>
    <w:r>
      <w:instrText xml:space="preserve"> DOCPROPERTY  Subject  \* MERGEFORMAT </w:instrText>
    </w:r>
    <w:r>
      <w:fldChar w:fldCharType="separate"/>
    </w:r>
    <w:r w:rsidR="002B6FEF">
      <w:t>Approved</w:t>
    </w:r>
    <w:r w:rsidR="002B6FEF">
      <w:fldChar w:fldCharType="end"/>
    </w:r>
    <w:r>
      <w:tab/>
      <w:t xml:space="preserve">Page </w:t>
    </w:r>
    <w:r>
      <w:fldChar w:fldCharType="begin"/>
    </w:r>
    <w:r>
      <w:instrText xml:space="preserve"> PAGE  \* Arabic  \* MERGEFORMAT </w:instrText>
    </w:r>
    <w:r>
      <w:fldChar w:fldCharType="separate"/>
    </w:r>
    <w:r w:rsidR="002B6F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6FEF">
      <w:rPr>
        <w:noProof/>
      </w:rPr>
      <w:t>4</w:t>
    </w:r>
    <w:r>
      <w:rPr>
        <w:noProof/>
      </w:rPr>
      <w:fldChar w:fldCharType="end"/>
    </w:r>
  </w:p>
  <w:p w:rsidR="00A65C73" w:rsidP="00A65C73">
    <w:pPr>
      <w:pStyle w:val="Footer"/>
      <w:framePr w:wrap="around"/>
    </w:pPr>
    <w:r>
      <w:t xml:space="preserve">© Commonwealth of Australia, </w:t>
    </w:r>
    <w:r>
      <w:fldChar w:fldCharType="begin"/>
    </w:r>
    <w:r>
      <w:instrText xml:space="preserve"> DATE  \@ "yyyy"  \* MERGEFORMAT </w:instrText>
    </w:r>
    <w:r>
      <w:fldChar w:fldCharType="separate"/>
    </w:r>
    <w:r w:rsidR="002B6FEF">
      <w:rPr>
        <w:noProof/>
      </w:rPr>
      <w:t>2025</w:t>
    </w:r>
    <w:r>
      <w:fldChar w:fldCharType="end"/>
    </w:r>
    <w:r>
      <w:tab/>
    </w:r>
    <w:r>
      <w:fldChar w:fldCharType="begin"/>
    </w:r>
    <w:r>
      <w:instrText xml:space="preserve"> DOCPROPERTY  Author  \* MERGEFORMAT </w:instrText>
    </w:r>
    <w:r>
      <w:fldChar w:fldCharType="separate"/>
    </w:r>
    <w:r w:rsidR="002B6FEF">
      <w:t>Public Skills Australia</w:t>
    </w:r>
    <w:r w:rsidR="002B6FEF">
      <w:fldChar w:fldCharType="end"/>
    </w:r>
  </w:p>
  <w:p w:rsidR="00A65C73" w:rsidP="00A65C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F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C73" w:rsidRPr="002B6FEF" w:rsidP="002B6F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FEF" w:rsidRPr="002D2AF8" w:rsidP="00A65C73">
    <w:pPr>
      <w:pStyle w:val="Header"/>
      <w:framePr w:wrap="around"/>
    </w:pPr>
    <w:r>
      <w:fldChar w:fldCharType="begin"/>
    </w:r>
    <w:r>
      <w:instrText xml:space="preserve"> TITLE   \* MERGEFORMAT </w:instrText>
    </w:r>
    <w:r>
      <w:fldChar w:fldCharType="separate"/>
    </w:r>
    <w:r>
      <w:t>DEFFIN026 Manage public sector financial compliance and assurance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B6FEF" w:rsidP="00A65C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73" w:rsidRPr="002D2AF8" w:rsidP="00A65C73">
    <w:pPr>
      <w:pStyle w:val="Header"/>
      <w:framePr w:wrap="around"/>
    </w:pPr>
    <w:r>
      <w:fldChar w:fldCharType="begin"/>
    </w:r>
    <w:r>
      <w:instrText xml:space="preserve"> TITLE   \* MERGEFORMAT </w:instrText>
    </w:r>
    <w:r>
      <w:fldChar w:fldCharType="separate"/>
    </w:r>
    <w:r w:rsidR="002B6FEF">
      <w:t>DEFFIN026 Manage public sector financial compliance and assurance</w:t>
    </w:r>
    <w:r w:rsidR="002B6FEF">
      <w:fldChar w:fldCharType="end"/>
    </w:r>
    <w:r>
      <w:tab/>
      <w:t xml:space="preserve">Date this document was generated: </w:t>
    </w:r>
    <w:r>
      <w:fldChar w:fldCharType="begin"/>
    </w:r>
    <w:r>
      <w:instrText xml:space="preserve"> CREATEDATE  \@ "d MMMM yyyy"  \* MERGEFORMAT </w:instrText>
    </w:r>
    <w:r>
      <w:fldChar w:fldCharType="separate"/>
    </w:r>
    <w:r w:rsidR="002B6FEF">
      <w:rPr>
        <w:noProof/>
      </w:rPr>
      <w:t>1 March 2025</w:t>
    </w:r>
    <w:r>
      <w:fldChar w:fldCharType="end"/>
    </w:r>
  </w:p>
  <w:p w:rsidR="00A65C73" w:rsidP="00A65C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727E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68BC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2ED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C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C73"/>
    <w:pPr>
      <w:spacing w:before="360" w:after="60"/>
      <w:outlineLvl w:val="0"/>
    </w:pPr>
    <w:rPr>
      <w:sz w:val="32"/>
    </w:rPr>
  </w:style>
  <w:style w:type="paragraph" w:styleId="Heading2">
    <w:name w:val="heading 2"/>
    <w:basedOn w:val="HeadingBase"/>
    <w:next w:val="BodyText"/>
    <w:link w:val="Heading2Char"/>
    <w:qFormat/>
    <w:rsid w:val="00A65C73"/>
    <w:pPr>
      <w:keepLines/>
      <w:spacing w:before="240" w:after="120"/>
      <w:outlineLvl w:val="1"/>
    </w:pPr>
    <w:rPr>
      <w:sz w:val="28"/>
      <w:szCs w:val="40"/>
    </w:rPr>
  </w:style>
  <w:style w:type="paragraph" w:styleId="Heading3">
    <w:name w:val="heading 3"/>
    <w:basedOn w:val="HeadingBase"/>
    <w:next w:val="BodyText"/>
    <w:link w:val="Heading3Char"/>
    <w:qFormat/>
    <w:rsid w:val="00A65C73"/>
    <w:pPr>
      <w:spacing w:before="180" w:after="120"/>
      <w:outlineLvl w:val="2"/>
    </w:pPr>
    <w:rPr>
      <w:spacing w:val="-10"/>
      <w:kern w:val="32"/>
    </w:rPr>
  </w:style>
  <w:style w:type="paragraph" w:styleId="Heading4">
    <w:name w:val="heading 4"/>
    <w:basedOn w:val="HeadingBase"/>
    <w:next w:val="BodyText"/>
    <w:link w:val="Heading4Char"/>
    <w:qFormat/>
    <w:rsid w:val="00A65C73"/>
    <w:pPr>
      <w:spacing w:before="160" w:after="120"/>
      <w:outlineLvl w:val="3"/>
    </w:pPr>
    <w:rPr>
      <w:sz w:val="22"/>
    </w:rPr>
  </w:style>
  <w:style w:type="paragraph" w:styleId="Heading5">
    <w:name w:val="heading 5"/>
    <w:basedOn w:val="HeadingBase"/>
    <w:next w:val="Normal"/>
    <w:link w:val="Heading5Char"/>
    <w:qFormat/>
    <w:rsid w:val="00A65C73"/>
    <w:pPr>
      <w:spacing w:before="80"/>
      <w:outlineLvl w:val="4"/>
    </w:pPr>
    <w:rPr>
      <w:color w:val="918585"/>
      <w:sz w:val="20"/>
    </w:rPr>
  </w:style>
  <w:style w:type="paragraph" w:styleId="Heading6">
    <w:name w:val="heading 6"/>
    <w:basedOn w:val="HeadingBase"/>
    <w:next w:val="Normal"/>
    <w:link w:val="Heading6Char"/>
    <w:qFormat/>
    <w:rsid w:val="00A65C73"/>
    <w:pPr>
      <w:spacing w:before="60"/>
      <w:outlineLvl w:val="5"/>
    </w:pPr>
    <w:rPr>
      <w:color w:val="918585"/>
      <w:sz w:val="20"/>
    </w:rPr>
  </w:style>
  <w:style w:type="paragraph" w:styleId="Heading7">
    <w:name w:val="heading 7"/>
    <w:basedOn w:val="Normal"/>
    <w:next w:val="Normal"/>
    <w:link w:val="Heading7Char"/>
    <w:qFormat/>
    <w:rsid w:val="00A65C73"/>
    <w:pPr>
      <w:ind w:left="720"/>
      <w:outlineLvl w:val="6"/>
    </w:pPr>
    <w:rPr>
      <w:i/>
    </w:rPr>
  </w:style>
  <w:style w:type="paragraph" w:styleId="Heading8">
    <w:name w:val="heading 8"/>
    <w:basedOn w:val="Normal"/>
    <w:next w:val="Normal"/>
    <w:link w:val="Heading8Char"/>
    <w:qFormat/>
    <w:rsid w:val="00A65C73"/>
    <w:pPr>
      <w:ind w:left="720"/>
      <w:outlineLvl w:val="7"/>
    </w:pPr>
    <w:rPr>
      <w:i/>
    </w:rPr>
  </w:style>
  <w:style w:type="paragraph" w:styleId="Heading9">
    <w:name w:val="heading 9"/>
    <w:basedOn w:val="Normal"/>
    <w:next w:val="Normal"/>
    <w:link w:val="Heading9Char"/>
    <w:qFormat/>
    <w:rsid w:val="00A65C73"/>
    <w:pPr>
      <w:ind w:left="720"/>
      <w:outlineLvl w:val="8"/>
    </w:pPr>
    <w:rPr>
      <w:i/>
    </w:rPr>
  </w:style>
  <w:style w:type="character" w:default="1" w:styleId="DefaultParagraphFont">
    <w:name w:val="Default Paragraph Font"/>
    <w:uiPriority w:val="1"/>
    <w:unhideWhenUsed/>
    <w:rsid w:val="00A65C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C73"/>
  </w:style>
  <w:style w:type="character" w:customStyle="1" w:styleId="Heading1Char">
    <w:name w:val="Heading 1 Char"/>
    <w:basedOn w:val="DefaultParagraphFont"/>
    <w:link w:val="Heading1"/>
    <w:rsid w:val="00A65C73"/>
    <w:rPr>
      <w:rFonts w:ascii="Times New Roman" w:eastAsia="Times New Roman" w:hAnsi="Times New Roman" w:cs="Times New Roman"/>
      <w:b/>
      <w:sz w:val="32"/>
      <w:szCs w:val="20"/>
      <w:lang w:eastAsia="en-US"/>
    </w:rPr>
  </w:style>
  <w:style w:type="paragraph" w:styleId="BodyText">
    <w:name w:val="Body Text"/>
    <w:basedOn w:val="Normal"/>
    <w:link w:val="BodyTextChar"/>
    <w:rsid w:val="00A65C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C73"/>
    <w:rPr>
      <w:rFonts w:ascii="Times New Roman" w:eastAsia="Times New Roman" w:hAnsi="Times New Roman" w:cs="Times New Roman"/>
      <w:sz w:val="24"/>
      <w:lang w:eastAsia="en-US"/>
    </w:rPr>
  </w:style>
  <w:style w:type="paragraph" w:styleId="ListBullet">
    <w:name w:val="List Bullet"/>
    <w:basedOn w:val="List"/>
    <w:rsid w:val="00A65C73"/>
    <w:pPr>
      <w:numPr>
        <w:numId w:val="12"/>
      </w:numPr>
      <w:tabs>
        <w:tab w:val="clear" w:pos="340"/>
      </w:tabs>
      <w:spacing w:before="40" w:after="40"/>
    </w:pPr>
  </w:style>
  <w:style w:type="character" w:customStyle="1" w:styleId="SpecialBold">
    <w:name w:val="Special Bold"/>
    <w:basedOn w:val="DefaultParagraphFont"/>
    <w:rsid w:val="00A65C73"/>
    <w:rPr>
      <w:b/>
      <w:spacing w:val="0"/>
    </w:rPr>
  </w:style>
  <w:style w:type="paragraph" w:styleId="ListBullet2">
    <w:name w:val="List Bullet 2"/>
    <w:basedOn w:val="List2"/>
    <w:rsid w:val="00A65C73"/>
    <w:pPr>
      <w:numPr>
        <w:numId w:val="13"/>
      </w:numPr>
      <w:tabs>
        <w:tab w:val="clear" w:pos="680"/>
      </w:tabs>
    </w:pPr>
  </w:style>
  <w:style w:type="paragraph" w:customStyle="1" w:styleId="SuperHeading">
    <w:name w:val="SuperHeading"/>
    <w:basedOn w:val="Normal"/>
    <w:rsid w:val="00A65C73"/>
    <w:pPr>
      <w:spacing w:before="240" w:after="120"/>
      <w:outlineLvl w:val="0"/>
    </w:pPr>
    <w:rPr>
      <w:rFonts w:ascii="Times New Roman" w:hAnsi="Times New Roman"/>
      <w:b/>
      <w:sz w:val="32"/>
    </w:rPr>
  </w:style>
  <w:style w:type="paragraph" w:customStyle="1" w:styleId="AllowPageBreak">
    <w:name w:val="AllowPageBreak"/>
    <w:rsid w:val="00A65C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5C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C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C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C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C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C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C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C73"/>
    <w:rPr>
      <w:rFonts w:ascii="Courier New" w:eastAsia="Times New Roman" w:hAnsi="Courier New" w:cs="Times New Roman"/>
      <w:i/>
      <w:szCs w:val="20"/>
      <w:lang w:eastAsia="en-US"/>
    </w:rPr>
  </w:style>
  <w:style w:type="paragraph" w:customStyle="1" w:styleId="HeadingBase">
    <w:name w:val="Heading Base"/>
    <w:rsid w:val="00A65C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C73"/>
    <w:pPr>
      <w:tabs>
        <w:tab w:val="right" w:leader="dot" w:pos="9072"/>
      </w:tabs>
      <w:ind w:left="567"/>
    </w:pPr>
    <w:rPr>
      <w:szCs w:val="22"/>
    </w:rPr>
  </w:style>
  <w:style w:type="paragraph" w:customStyle="1" w:styleId="TOCBase">
    <w:name w:val="TOC Base"/>
    <w:rsid w:val="00A65C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C73"/>
    <w:pPr>
      <w:tabs>
        <w:tab w:val="right" w:leader="dot" w:pos="9072"/>
      </w:tabs>
      <w:spacing w:before="40" w:after="40"/>
      <w:ind w:left="284"/>
    </w:pPr>
    <w:rPr>
      <w:rFonts w:ascii="Times New Roman" w:hAnsi="Times New Roman"/>
    </w:rPr>
  </w:style>
  <w:style w:type="paragraph" w:styleId="TOC1">
    <w:name w:val="toc 1"/>
    <w:basedOn w:val="TOCBase"/>
    <w:next w:val="Normal"/>
    <w:rsid w:val="00A65C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C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C73"/>
    <w:rPr>
      <w:rFonts w:ascii="Times New Roman" w:eastAsia="Times New Roman" w:hAnsi="Times New Roman" w:cs="Times New Roman"/>
      <w:sz w:val="16"/>
      <w:lang w:eastAsia="en-US"/>
    </w:rPr>
  </w:style>
  <w:style w:type="paragraph" w:styleId="Title">
    <w:name w:val="Title"/>
    <w:basedOn w:val="HeadingBase"/>
    <w:link w:val="TitleChar"/>
    <w:qFormat/>
    <w:rsid w:val="00A65C73"/>
    <w:pPr>
      <w:spacing w:before="5040"/>
      <w:jc w:val="center"/>
    </w:pPr>
    <w:rPr>
      <w:sz w:val="48"/>
      <w:szCs w:val="72"/>
      <w:lang w:val="en-US"/>
    </w:rPr>
  </w:style>
  <w:style w:type="character" w:customStyle="1" w:styleId="TitleChar">
    <w:name w:val="Title Char"/>
    <w:basedOn w:val="DefaultParagraphFont"/>
    <w:link w:val="Title"/>
    <w:rsid w:val="00A65C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C73"/>
    <w:pPr>
      <w:tabs>
        <w:tab w:val="left" w:pos="3600"/>
        <w:tab w:val="left" w:pos="3958"/>
      </w:tabs>
    </w:pPr>
  </w:style>
  <w:style w:type="paragraph" w:styleId="List">
    <w:name w:val="List"/>
    <w:basedOn w:val="BodyText"/>
    <w:next w:val="BodyText"/>
    <w:rsid w:val="00A65C73"/>
    <w:pPr>
      <w:tabs>
        <w:tab w:val="left" w:pos="340"/>
      </w:tabs>
      <w:spacing w:before="60" w:after="60"/>
      <w:ind w:left="340" w:hanging="340"/>
    </w:pPr>
  </w:style>
  <w:style w:type="paragraph" w:customStyle="1" w:styleId="Note">
    <w:name w:val="Note"/>
    <w:basedOn w:val="BodyText"/>
    <w:rsid w:val="00A65C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C73"/>
    <w:pPr>
      <w:framePr w:wrap="auto" w:hAnchor="text" w:y="6049"/>
    </w:pPr>
    <w:rPr>
      <w:color w:val="000000"/>
      <w:sz w:val="40"/>
    </w:rPr>
  </w:style>
  <w:style w:type="paragraph" w:customStyle="1" w:styleId="TOCTitle">
    <w:name w:val="TOCTitle"/>
    <w:basedOn w:val="Heading1"/>
    <w:rsid w:val="00A65C73"/>
    <w:pPr>
      <w:spacing w:after="240"/>
      <w:jc w:val="center"/>
      <w:outlineLvl w:val="9"/>
    </w:pPr>
    <w:rPr>
      <w:caps/>
    </w:rPr>
  </w:style>
  <w:style w:type="paragraph" w:customStyle="1" w:styleId="Version">
    <w:name w:val="Version"/>
    <w:rsid w:val="00A65C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C73"/>
    <w:pPr>
      <w:keepNext w:val="0"/>
      <w:tabs>
        <w:tab w:val="right" w:pos="4176"/>
      </w:tabs>
      <w:ind w:left="198" w:hanging="198"/>
    </w:pPr>
    <w:rPr>
      <w:rFonts w:ascii="Garamond" w:hAnsi="Garamond"/>
    </w:rPr>
  </w:style>
  <w:style w:type="paragraph" w:styleId="IndexHeading">
    <w:name w:val="index heading"/>
    <w:basedOn w:val="Normal"/>
    <w:next w:val="Index1"/>
    <w:semiHidden/>
    <w:rsid w:val="00A65C73"/>
    <w:pPr>
      <w:spacing w:before="120" w:after="120"/>
    </w:pPr>
    <w:rPr>
      <w:rFonts w:ascii="Arial" w:hAnsi="Arial"/>
      <w:b/>
      <w:color w:val="918585"/>
      <w:sz w:val="24"/>
    </w:rPr>
  </w:style>
  <w:style w:type="paragraph" w:styleId="Header">
    <w:name w:val="header"/>
    <w:basedOn w:val="Normal"/>
    <w:link w:val="HeaderChar"/>
    <w:rsid w:val="00A65C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C73"/>
    <w:rPr>
      <w:rFonts w:ascii="Times New Roman" w:eastAsia="Times New Roman" w:hAnsi="Times New Roman" w:cs="Times New Roman"/>
      <w:sz w:val="16"/>
      <w:szCs w:val="20"/>
      <w:lang w:val="en-GB" w:eastAsia="en-US"/>
    </w:rPr>
  </w:style>
  <w:style w:type="paragraph" w:customStyle="1" w:styleId="Chapter">
    <w:name w:val="Chapter"/>
    <w:basedOn w:val="Normal"/>
    <w:rsid w:val="00A65C73"/>
    <w:pPr>
      <w:spacing w:before="240"/>
    </w:pPr>
    <w:rPr>
      <w:rFonts w:ascii="Times New Roman" w:hAnsi="Times New Roman"/>
      <w:smallCaps/>
      <w:spacing w:val="80"/>
      <w:sz w:val="28"/>
    </w:rPr>
  </w:style>
  <w:style w:type="paragraph" w:customStyle="1" w:styleId="InChapter">
    <w:name w:val="InChapter"/>
    <w:basedOn w:val="Heading3"/>
    <w:rsid w:val="00A65C73"/>
    <w:pPr>
      <w:spacing w:after="240"/>
      <w:outlineLvl w:val="9"/>
    </w:pPr>
    <w:rPr>
      <w:noProof/>
    </w:rPr>
  </w:style>
  <w:style w:type="paragraph" w:styleId="Index2">
    <w:name w:val="index 2"/>
    <w:basedOn w:val="Normal"/>
    <w:next w:val="Normal"/>
    <w:semiHidden/>
    <w:rsid w:val="00A65C73"/>
    <w:pPr>
      <w:tabs>
        <w:tab w:val="right" w:pos="4176"/>
      </w:tabs>
      <w:ind w:left="568" w:hanging="284"/>
    </w:pPr>
    <w:rPr>
      <w:rFonts w:ascii="Garamond" w:hAnsi="Garamond"/>
    </w:rPr>
  </w:style>
  <w:style w:type="paragraph" w:customStyle="1" w:styleId="Byline">
    <w:name w:val="Byline"/>
    <w:rsid w:val="00A65C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C73"/>
    <w:pPr>
      <w:tabs>
        <w:tab w:val="clear" w:pos="3600"/>
        <w:tab w:val="clear" w:pos="3958"/>
      </w:tabs>
      <w:jc w:val="right"/>
    </w:pPr>
  </w:style>
  <w:style w:type="character" w:styleId="Emphasis">
    <w:name w:val="Emphasis"/>
    <w:basedOn w:val="DefaultParagraphFont"/>
    <w:qFormat/>
    <w:rsid w:val="00A65C73"/>
    <w:rPr>
      <w:i/>
    </w:rPr>
  </w:style>
  <w:style w:type="paragraph" w:styleId="Caption">
    <w:name w:val="caption"/>
    <w:basedOn w:val="BodyText"/>
    <w:next w:val="Normal"/>
    <w:qFormat/>
    <w:rsid w:val="00A65C73"/>
    <w:pPr>
      <w:framePr w:w="2268" w:hSpace="181" w:vSpace="181" w:wrap="around" w:vAnchor="text" w:hAnchor="page" w:x="1135" w:y="285" w:anchorLock="1"/>
    </w:pPr>
    <w:rPr>
      <w:i/>
    </w:rPr>
  </w:style>
  <w:style w:type="paragraph" w:customStyle="1" w:styleId="MiniTOCTitle">
    <w:name w:val="MiniTOCTitle"/>
    <w:basedOn w:val="Heading4"/>
    <w:rsid w:val="00A65C73"/>
    <w:pPr>
      <w:spacing w:before="240"/>
      <w:outlineLvl w:val="9"/>
    </w:pPr>
    <w:rPr>
      <w:noProof/>
      <w:sz w:val="24"/>
    </w:rPr>
  </w:style>
  <w:style w:type="paragraph" w:customStyle="1" w:styleId="MiniTOCItem">
    <w:name w:val="MiniTOCItem"/>
    <w:basedOn w:val="ListBullet"/>
    <w:rsid w:val="00A65C73"/>
    <w:pPr>
      <w:numPr>
        <w:numId w:val="0"/>
      </w:numPr>
      <w:tabs>
        <w:tab w:val="right" w:leader="dot" w:pos="6521"/>
      </w:tabs>
      <w:spacing w:before="0" w:after="0"/>
    </w:pPr>
  </w:style>
  <w:style w:type="paragraph" w:customStyle="1" w:styleId="TOFTitle">
    <w:name w:val="TOFTitle"/>
    <w:basedOn w:val="TOCTitle"/>
    <w:rsid w:val="00A65C73"/>
  </w:style>
  <w:style w:type="paragraph" w:styleId="TableofFigures">
    <w:name w:val="table of figures"/>
    <w:basedOn w:val="Normal"/>
    <w:next w:val="Normal"/>
    <w:semiHidden/>
    <w:rsid w:val="00A65C73"/>
    <w:pPr>
      <w:tabs>
        <w:tab w:val="right" w:leader="dot" w:pos="9072"/>
      </w:tabs>
      <w:ind w:left="970" w:hanging="403"/>
    </w:pPr>
    <w:rPr>
      <w:rFonts w:ascii="Times New Roman" w:hAnsi="Times New Roman"/>
      <w:b/>
    </w:rPr>
  </w:style>
  <w:style w:type="paragraph" w:styleId="ListNumber">
    <w:name w:val="List Number"/>
    <w:basedOn w:val="List"/>
    <w:rsid w:val="00A65C73"/>
    <w:pPr>
      <w:numPr>
        <w:numId w:val="15"/>
      </w:numPr>
      <w:tabs>
        <w:tab w:val="clear" w:pos="340"/>
      </w:tabs>
    </w:pPr>
  </w:style>
  <w:style w:type="character" w:customStyle="1" w:styleId="WingdingSymbols">
    <w:name w:val="Wingding Symbols"/>
    <w:rsid w:val="00A65C73"/>
    <w:rPr>
      <w:rFonts w:ascii="Wingdings" w:hAnsi="Wingdings"/>
    </w:rPr>
  </w:style>
  <w:style w:type="paragraph" w:customStyle="1" w:styleId="TableHeading">
    <w:name w:val="Table Heading"/>
    <w:basedOn w:val="HeadingBase"/>
    <w:rsid w:val="00A65C73"/>
    <w:pPr>
      <w:keepLines/>
      <w:pBdr>
        <w:bottom w:val="single" w:sz="6" w:space="1" w:color="918585"/>
      </w:pBdr>
      <w:spacing w:before="240"/>
    </w:pPr>
  </w:style>
  <w:style w:type="character" w:customStyle="1" w:styleId="HotSpot">
    <w:name w:val="HotSpot"/>
    <w:rsid w:val="00A65C73"/>
    <w:rPr>
      <w:color w:val="0033CC"/>
      <w:u w:val="none"/>
    </w:rPr>
  </w:style>
  <w:style w:type="paragraph" w:customStyle="1" w:styleId="BodyTextRight">
    <w:name w:val="Body Text Right"/>
    <w:basedOn w:val="BodyText"/>
    <w:rsid w:val="00A65C73"/>
    <w:pPr>
      <w:spacing w:before="0" w:after="0"/>
      <w:jc w:val="right"/>
    </w:pPr>
  </w:style>
  <w:style w:type="paragraph" w:styleId="Index3">
    <w:name w:val="index 3"/>
    <w:basedOn w:val="ListNumber2"/>
    <w:next w:val="Normal"/>
    <w:semiHidden/>
    <w:rsid w:val="00A65C73"/>
    <w:pPr>
      <w:numPr>
        <w:numId w:val="0"/>
      </w:numPr>
      <w:tabs>
        <w:tab w:val="right" w:leader="dot" w:pos="4176"/>
      </w:tabs>
    </w:pPr>
  </w:style>
  <w:style w:type="paragraph" w:styleId="ListNumber2">
    <w:name w:val="List Number 2"/>
    <w:basedOn w:val="List2"/>
    <w:rsid w:val="00A65C73"/>
    <w:pPr>
      <w:numPr>
        <w:numId w:val="10"/>
      </w:numPr>
      <w:tabs>
        <w:tab w:val="clear" w:pos="1060"/>
      </w:tabs>
    </w:pPr>
  </w:style>
  <w:style w:type="paragraph" w:customStyle="1" w:styleId="MarginNote">
    <w:name w:val="Margin Note"/>
    <w:basedOn w:val="BodyText"/>
    <w:rsid w:val="00A65C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C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C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C73"/>
    <w:rPr>
      <w:sz w:val="32"/>
    </w:rPr>
  </w:style>
  <w:style w:type="paragraph" w:customStyle="1" w:styleId="HeadingProcedure">
    <w:name w:val="Heading Procedure"/>
    <w:basedOn w:val="HeadingBase"/>
    <w:next w:val="Normal"/>
    <w:rsid w:val="00A65C73"/>
    <w:pPr>
      <w:tabs>
        <w:tab w:val="left" w:pos="0"/>
      </w:tabs>
      <w:spacing w:before="120" w:after="60"/>
    </w:pPr>
    <w:rPr>
      <w:i/>
      <w:color w:val="918585"/>
      <w:sz w:val="22"/>
    </w:rPr>
  </w:style>
  <w:style w:type="paragraph" w:customStyle="1" w:styleId="TableBodyText">
    <w:name w:val="Table Body Text"/>
    <w:basedOn w:val="BodyText"/>
    <w:rsid w:val="00A65C73"/>
    <w:pPr>
      <w:spacing w:before="60" w:after="60"/>
    </w:pPr>
  </w:style>
  <w:style w:type="paragraph" w:styleId="ListContinue">
    <w:name w:val="List Continue"/>
    <w:basedOn w:val="List"/>
    <w:rsid w:val="00A65C73"/>
    <w:pPr>
      <w:ind w:firstLine="0"/>
    </w:pPr>
  </w:style>
  <w:style w:type="paragraph" w:customStyle="1" w:styleId="ListNote">
    <w:name w:val="List Note"/>
    <w:basedOn w:val="List"/>
    <w:rsid w:val="00A65C73"/>
    <w:pPr>
      <w:pBdr>
        <w:top w:val="single" w:sz="6" w:space="2" w:color="918585"/>
        <w:bottom w:val="single" w:sz="6" w:space="2" w:color="918585"/>
      </w:pBdr>
      <w:tabs>
        <w:tab w:val="left" w:pos="1021"/>
      </w:tabs>
      <w:ind w:firstLine="0"/>
    </w:pPr>
  </w:style>
  <w:style w:type="paragraph" w:customStyle="1" w:styleId="Warning">
    <w:name w:val="Warning"/>
    <w:basedOn w:val="BodyText"/>
    <w:rsid w:val="00A65C73"/>
    <w:pPr>
      <w:shd w:val="clear" w:color="auto" w:fill="D9D9D9"/>
      <w:tabs>
        <w:tab w:val="left" w:pos="992"/>
      </w:tabs>
      <w:ind w:left="119" w:right="119"/>
    </w:pPr>
    <w:rPr>
      <w:sz w:val="20"/>
    </w:rPr>
  </w:style>
  <w:style w:type="paragraph" w:customStyle="1" w:styleId="MarginIcons">
    <w:name w:val="Margin Icons"/>
    <w:basedOn w:val="BodyText"/>
    <w:rsid w:val="00A65C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C73"/>
    <w:rPr>
      <w:rFonts w:ascii="Courier New" w:hAnsi="Courier New"/>
    </w:rPr>
  </w:style>
  <w:style w:type="paragraph" w:customStyle="1" w:styleId="NoteBullet">
    <w:name w:val="Note Bullet"/>
    <w:basedOn w:val="Note"/>
    <w:rsid w:val="00A65C73"/>
    <w:pPr>
      <w:tabs>
        <w:tab w:val="clear" w:pos="680"/>
      </w:tabs>
      <w:spacing w:before="60" w:after="60"/>
    </w:pPr>
  </w:style>
  <w:style w:type="paragraph" w:customStyle="1" w:styleId="SubHeading2">
    <w:name w:val="SubHeading2"/>
    <w:basedOn w:val="HeadingBase"/>
    <w:rsid w:val="00A65C73"/>
    <w:pPr>
      <w:spacing w:before="240" w:after="60"/>
    </w:pPr>
    <w:rPr>
      <w:sz w:val="20"/>
    </w:rPr>
  </w:style>
  <w:style w:type="paragraph" w:customStyle="1" w:styleId="SubHeading1">
    <w:name w:val="SubHeading1"/>
    <w:basedOn w:val="HeadingBase"/>
    <w:rsid w:val="00A65C73"/>
    <w:pPr>
      <w:spacing w:before="240" w:after="60"/>
    </w:pPr>
    <w:rPr>
      <w:color w:val="918585"/>
      <w:sz w:val="22"/>
    </w:rPr>
  </w:style>
  <w:style w:type="paragraph" w:customStyle="1" w:styleId="SideHeading">
    <w:name w:val="Side Heading"/>
    <w:basedOn w:val="HeadingBase"/>
    <w:rsid w:val="00A65C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C73"/>
    <w:pPr>
      <w:tabs>
        <w:tab w:val="num" w:pos="360"/>
      </w:tabs>
    </w:pPr>
  </w:style>
  <w:style w:type="paragraph" w:styleId="PlainText">
    <w:name w:val="Plain Text"/>
    <w:basedOn w:val="Normal"/>
    <w:link w:val="PlainTextChar"/>
    <w:rsid w:val="00A65C73"/>
    <w:rPr>
      <w:sz w:val="20"/>
    </w:rPr>
  </w:style>
  <w:style w:type="character" w:customStyle="1" w:styleId="PlainTextChar">
    <w:name w:val="Plain Text Char"/>
    <w:basedOn w:val="DefaultParagraphFont"/>
    <w:link w:val="PlainText"/>
    <w:rsid w:val="00A65C73"/>
    <w:rPr>
      <w:rFonts w:ascii="Courier New" w:eastAsia="Times New Roman" w:hAnsi="Courier New" w:cs="Times New Roman"/>
      <w:sz w:val="20"/>
      <w:szCs w:val="20"/>
      <w:lang w:eastAsia="en-US"/>
    </w:rPr>
  </w:style>
  <w:style w:type="character" w:customStyle="1" w:styleId="MenuOption">
    <w:name w:val="Menu Option"/>
    <w:basedOn w:val="DefaultParagraphFont"/>
    <w:rsid w:val="00A65C73"/>
    <w:rPr>
      <w:b/>
      <w:smallCaps/>
    </w:rPr>
  </w:style>
  <w:style w:type="paragraph" w:customStyle="1" w:styleId="TableListNumber">
    <w:name w:val="Table List Number"/>
    <w:basedOn w:val="ListNumber"/>
    <w:rsid w:val="00A65C73"/>
    <w:pPr>
      <w:numPr>
        <w:numId w:val="0"/>
      </w:numPr>
    </w:pPr>
  </w:style>
  <w:style w:type="paragraph" w:styleId="TOC4">
    <w:name w:val="toc 4"/>
    <w:basedOn w:val="TOCBase"/>
    <w:next w:val="Normal"/>
    <w:semiHidden/>
    <w:rsid w:val="00A65C73"/>
    <w:pPr>
      <w:tabs>
        <w:tab w:val="right" w:leader="dot" w:pos="9071"/>
      </w:tabs>
      <w:ind w:left="1701"/>
    </w:pPr>
  </w:style>
  <w:style w:type="paragraph" w:customStyle="1" w:styleId="ListAlpha">
    <w:name w:val="List Alpha"/>
    <w:basedOn w:val="List"/>
    <w:rsid w:val="00A65C73"/>
    <w:pPr>
      <w:numPr>
        <w:numId w:val="9"/>
      </w:numPr>
    </w:pPr>
  </w:style>
  <w:style w:type="paragraph" w:customStyle="1" w:styleId="ListAlpha2">
    <w:name w:val="List Alpha 2"/>
    <w:basedOn w:val="List2"/>
    <w:rsid w:val="00A65C73"/>
    <w:pPr>
      <w:numPr>
        <w:numId w:val="8"/>
      </w:numPr>
    </w:pPr>
  </w:style>
  <w:style w:type="paragraph" w:styleId="List2">
    <w:name w:val="List 2"/>
    <w:basedOn w:val="BodyText"/>
    <w:rsid w:val="00A65C73"/>
    <w:pPr>
      <w:tabs>
        <w:tab w:val="left" w:pos="680"/>
      </w:tabs>
      <w:spacing w:before="60" w:after="60"/>
      <w:ind w:left="680" w:hanging="340"/>
    </w:pPr>
  </w:style>
  <w:style w:type="paragraph" w:styleId="List3">
    <w:name w:val="List 3"/>
    <w:basedOn w:val="BodyText"/>
    <w:rsid w:val="00A65C73"/>
    <w:pPr>
      <w:tabs>
        <w:tab w:val="left" w:pos="1021"/>
      </w:tabs>
      <w:spacing w:before="60" w:after="60"/>
      <w:ind w:left="1020" w:hanging="340"/>
    </w:pPr>
  </w:style>
  <w:style w:type="paragraph" w:styleId="List4">
    <w:name w:val="List 4"/>
    <w:basedOn w:val="BodyText"/>
    <w:rsid w:val="00A65C73"/>
    <w:pPr>
      <w:tabs>
        <w:tab w:val="left" w:pos="1361"/>
      </w:tabs>
      <w:spacing w:before="60" w:after="60"/>
      <w:ind w:left="1361" w:hanging="340"/>
    </w:pPr>
  </w:style>
  <w:style w:type="paragraph" w:styleId="List5">
    <w:name w:val="List 5"/>
    <w:basedOn w:val="BodyText"/>
    <w:rsid w:val="00A65C73"/>
    <w:pPr>
      <w:tabs>
        <w:tab w:val="left" w:pos="1701"/>
      </w:tabs>
      <w:spacing w:before="60" w:after="60"/>
      <w:ind w:left="1701" w:hanging="340"/>
    </w:pPr>
  </w:style>
  <w:style w:type="paragraph" w:styleId="ListBullet3">
    <w:name w:val="List Bullet 3"/>
    <w:basedOn w:val="List3"/>
    <w:rsid w:val="00A65C73"/>
    <w:pPr>
      <w:numPr>
        <w:numId w:val="14"/>
      </w:numPr>
      <w:tabs>
        <w:tab w:val="clear" w:pos="1021"/>
      </w:tabs>
      <w:ind w:left="1037" w:hanging="357"/>
    </w:pPr>
  </w:style>
  <w:style w:type="paragraph" w:styleId="ListBullet4">
    <w:name w:val="List Bullet 4"/>
    <w:basedOn w:val="List4"/>
    <w:rsid w:val="00A65C73"/>
    <w:pPr>
      <w:numPr>
        <w:numId w:val="3"/>
      </w:numPr>
      <w:tabs>
        <w:tab w:val="clear" w:pos="1361"/>
      </w:tabs>
    </w:pPr>
  </w:style>
  <w:style w:type="paragraph" w:styleId="ListBullet5">
    <w:name w:val="List Bullet 5"/>
    <w:basedOn w:val="List5"/>
    <w:rsid w:val="00A65C73"/>
    <w:pPr>
      <w:numPr>
        <w:numId w:val="4"/>
      </w:numPr>
    </w:pPr>
  </w:style>
  <w:style w:type="paragraph" w:styleId="ListContinue2">
    <w:name w:val="List Continue 2"/>
    <w:basedOn w:val="List2"/>
    <w:rsid w:val="00A65C73"/>
    <w:pPr>
      <w:ind w:firstLine="0"/>
    </w:pPr>
  </w:style>
  <w:style w:type="paragraph" w:styleId="ListContinue3">
    <w:name w:val="List Continue 3"/>
    <w:basedOn w:val="List3"/>
    <w:rsid w:val="00A65C73"/>
    <w:pPr>
      <w:ind w:left="1021" w:firstLine="0"/>
    </w:pPr>
  </w:style>
  <w:style w:type="paragraph" w:styleId="ListContinue4">
    <w:name w:val="List Continue 4"/>
    <w:basedOn w:val="List4"/>
    <w:rsid w:val="00A65C73"/>
    <w:pPr>
      <w:ind w:firstLine="0"/>
    </w:pPr>
  </w:style>
  <w:style w:type="paragraph" w:styleId="ListContinue5">
    <w:name w:val="List Continue 5"/>
    <w:basedOn w:val="List5"/>
    <w:rsid w:val="00A65C73"/>
    <w:pPr>
      <w:ind w:firstLine="0"/>
    </w:pPr>
  </w:style>
  <w:style w:type="paragraph" w:styleId="ListNumber3">
    <w:name w:val="List Number 3"/>
    <w:basedOn w:val="List3"/>
    <w:rsid w:val="00A65C73"/>
    <w:pPr>
      <w:numPr>
        <w:numId w:val="5"/>
      </w:numPr>
    </w:pPr>
  </w:style>
  <w:style w:type="paragraph" w:styleId="ListNumber4">
    <w:name w:val="List Number 4"/>
    <w:basedOn w:val="List4"/>
    <w:rsid w:val="00A65C73"/>
    <w:pPr>
      <w:numPr>
        <w:numId w:val="6"/>
      </w:numPr>
    </w:pPr>
  </w:style>
  <w:style w:type="paragraph" w:styleId="ListNumber5">
    <w:name w:val="List Number 5"/>
    <w:basedOn w:val="List5"/>
    <w:rsid w:val="00A65C73"/>
    <w:pPr>
      <w:numPr>
        <w:numId w:val="7"/>
      </w:numPr>
    </w:pPr>
  </w:style>
  <w:style w:type="paragraph" w:styleId="BlockText">
    <w:name w:val="Block Text"/>
    <w:basedOn w:val="Normal"/>
    <w:rsid w:val="00A65C73"/>
    <w:pPr>
      <w:spacing w:after="120"/>
      <w:ind w:left="1440" w:right="1440"/>
    </w:pPr>
  </w:style>
  <w:style w:type="character" w:customStyle="1" w:styleId="Subscript">
    <w:name w:val="Subscript"/>
    <w:basedOn w:val="DefaultParagraphFont"/>
    <w:rsid w:val="00A65C73"/>
    <w:rPr>
      <w:sz w:val="16"/>
      <w:vertAlign w:val="subscript"/>
    </w:rPr>
  </w:style>
  <w:style w:type="character" w:customStyle="1" w:styleId="Superscript">
    <w:name w:val="Superscript"/>
    <w:basedOn w:val="DefaultParagraphFont"/>
    <w:rsid w:val="00A65C73"/>
    <w:rPr>
      <w:sz w:val="16"/>
      <w:vertAlign w:val="superscript"/>
    </w:rPr>
  </w:style>
  <w:style w:type="character" w:customStyle="1" w:styleId="Symbols">
    <w:name w:val="Symbols"/>
    <w:basedOn w:val="DefaultParagraphFont"/>
    <w:rsid w:val="00A65C73"/>
    <w:rPr>
      <w:rFonts w:ascii="Symbol" w:hAnsi="Symbol"/>
    </w:rPr>
  </w:style>
  <w:style w:type="character" w:customStyle="1" w:styleId="MenuOptions">
    <w:name w:val="Menu Options"/>
    <w:basedOn w:val="DefaultParagraphFont"/>
    <w:rsid w:val="00A65C73"/>
    <w:rPr>
      <w:rFonts w:ascii="Arial Narrow" w:hAnsi="Arial Narrow"/>
      <w:smallCaps/>
    </w:rPr>
  </w:style>
  <w:style w:type="character" w:customStyle="1" w:styleId="Buttons">
    <w:name w:val="Buttons"/>
    <w:basedOn w:val="DefaultParagraphFont"/>
    <w:rsid w:val="00A65C73"/>
    <w:rPr>
      <w:b/>
    </w:rPr>
  </w:style>
  <w:style w:type="character" w:customStyle="1" w:styleId="Underlined">
    <w:name w:val="Underlined"/>
    <w:basedOn w:val="DefaultParagraphFont"/>
    <w:rsid w:val="00A65C73"/>
    <w:rPr>
      <w:u w:val="single"/>
    </w:rPr>
  </w:style>
  <w:style w:type="paragraph" w:customStyle="1" w:styleId="TableBodyTextRight">
    <w:name w:val="Table Body Text Right"/>
    <w:basedOn w:val="TableBodyText"/>
    <w:rsid w:val="00A65C73"/>
    <w:pPr>
      <w:widowControl w:val="0"/>
      <w:autoSpaceDE w:val="0"/>
      <w:autoSpaceDN w:val="0"/>
      <w:adjustRightInd w:val="0"/>
      <w:jc w:val="right"/>
    </w:pPr>
    <w:rPr>
      <w:rFonts w:cs="Arial"/>
      <w:szCs w:val="18"/>
    </w:rPr>
  </w:style>
  <w:style w:type="paragraph" w:customStyle="1" w:styleId="CopyrightText">
    <w:name w:val="Copyright Text"/>
    <w:basedOn w:val="BodyText"/>
    <w:rsid w:val="00A65C73"/>
    <w:rPr>
      <w:sz w:val="18"/>
    </w:rPr>
  </w:style>
  <w:style w:type="paragraph" w:customStyle="1" w:styleId="BodySmallRight">
    <w:name w:val="Body Small Right"/>
    <w:basedOn w:val="BodyTextRight"/>
    <w:rsid w:val="00A65C73"/>
    <w:rPr>
      <w:sz w:val="18"/>
      <w:szCs w:val="18"/>
    </w:rPr>
  </w:style>
  <w:style w:type="paragraph" w:customStyle="1" w:styleId="MarginEdition">
    <w:name w:val="Margin Edition"/>
    <w:basedOn w:val="MarginNote"/>
    <w:rsid w:val="00A65C73"/>
    <w:pPr>
      <w:spacing w:before="0" w:after="0"/>
    </w:pPr>
    <w:rPr>
      <w:rFonts w:ascii="Times New Roman" w:hAnsi="Times New Roman"/>
      <w:color w:val="999999"/>
    </w:rPr>
  </w:style>
  <w:style w:type="paragraph" w:customStyle="1" w:styleId="Spacer">
    <w:name w:val="Spacer"/>
    <w:basedOn w:val="Normal"/>
    <w:rsid w:val="00A65C73"/>
    <w:rPr>
      <w:sz w:val="2"/>
      <w:szCs w:val="2"/>
    </w:rPr>
  </w:style>
  <w:style w:type="character" w:customStyle="1" w:styleId="Small">
    <w:name w:val="Small"/>
    <w:basedOn w:val="DefaultParagraphFont"/>
    <w:rsid w:val="00A65C73"/>
    <w:rPr>
      <w:sz w:val="16"/>
    </w:rPr>
  </w:style>
  <w:style w:type="paragraph" w:customStyle="1" w:styleId="WideTable">
    <w:name w:val="Wide Table"/>
    <w:basedOn w:val="Normal"/>
    <w:rsid w:val="00A65C73"/>
    <w:pPr>
      <w:ind w:left="-1418"/>
    </w:pPr>
    <w:rPr>
      <w:sz w:val="2"/>
      <w:szCs w:val="2"/>
    </w:rPr>
  </w:style>
  <w:style w:type="character" w:styleId="PageNumber">
    <w:name w:val="page number"/>
    <w:basedOn w:val="DefaultParagraphFont"/>
    <w:rsid w:val="00A65C73"/>
  </w:style>
  <w:style w:type="paragraph" w:styleId="Quote">
    <w:name w:val="Quote"/>
    <w:basedOn w:val="Heading1"/>
    <w:link w:val="QuoteChar"/>
    <w:qFormat/>
    <w:rsid w:val="00A65C73"/>
    <w:rPr>
      <w:b w:val="0"/>
      <w:sz w:val="72"/>
      <w:szCs w:val="72"/>
      <w:lang w:val="en-NZ"/>
    </w:rPr>
  </w:style>
  <w:style w:type="character" w:customStyle="1" w:styleId="QuoteChar">
    <w:name w:val="Quote Char"/>
    <w:basedOn w:val="DefaultParagraphFont"/>
    <w:link w:val="Quote"/>
    <w:rsid w:val="00A65C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C73"/>
    <w:pPr>
      <w:pageBreakBefore/>
    </w:pPr>
  </w:style>
  <w:style w:type="paragraph" w:customStyle="1" w:styleId="Border">
    <w:name w:val="Border"/>
    <w:basedOn w:val="Normal"/>
    <w:qFormat/>
    <w:rsid w:val="00A65C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C73"/>
    <w:rPr>
      <w:b/>
      <w:bCs/>
      <w:i/>
      <w:iCs/>
      <w:color w:val="auto"/>
    </w:rPr>
  </w:style>
  <w:style w:type="paragraph" w:styleId="IntenseQuote">
    <w:name w:val="Intense Quote"/>
    <w:basedOn w:val="Normal"/>
    <w:next w:val="Normal"/>
    <w:link w:val="IntenseQuoteChar"/>
    <w:uiPriority w:val="30"/>
    <w:qFormat/>
    <w:rsid w:val="00A65C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C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C73"/>
    <w:rPr>
      <w:smallCaps/>
      <w:color w:val="auto"/>
      <w:u w:val="single"/>
    </w:rPr>
  </w:style>
  <w:style w:type="character" w:styleId="IntenseReference">
    <w:name w:val="Intense Reference"/>
    <w:basedOn w:val="DefaultParagraphFont"/>
    <w:uiPriority w:val="32"/>
    <w:qFormat/>
    <w:rsid w:val="00A65C73"/>
    <w:rPr>
      <w:b/>
      <w:bCs/>
      <w:smallCaps/>
      <w:color w:val="auto"/>
      <w:spacing w:val="5"/>
      <w:u w:val="single"/>
    </w:rPr>
  </w:style>
  <w:style w:type="paragraph" w:customStyle="1" w:styleId="2ColumnHeading">
    <w:name w:val="2Column Heading"/>
    <w:basedOn w:val="BodyText"/>
    <w:qFormat/>
    <w:rsid w:val="00A65C73"/>
    <w:pPr>
      <w:spacing w:after="60"/>
      <w:ind w:left="-2268"/>
    </w:pPr>
    <w:rPr>
      <w:b/>
    </w:rPr>
  </w:style>
  <w:style w:type="paragraph" w:customStyle="1" w:styleId="Heading1TOC">
    <w:name w:val="Heading1 TOC"/>
    <w:basedOn w:val="Normal"/>
    <w:qFormat/>
    <w:rsid w:val="00A65C73"/>
    <w:pPr>
      <w:spacing w:before="240" w:after="120"/>
    </w:pPr>
    <w:rPr>
      <w:rFonts w:ascii="Times New Roman" w:hAnsi="Times New Roman"/>
      <w:b/>
      <w:sz w:val="32"/>
    </w:rPr>
  </w:style>
  <w:style w:type="paragraph" w:customStyle="1" w:styleId="Heading2TOC">
    <w:name w:val="Heading2 TOC"/>
    <w:basedOn w:val="Normal"/>
    <w:qFormat/>
    <w:rsid w:val="00A65C73"/>
    <w:pPr>
      <w:spacing w:before="240" w:after="60"/>
    </w:pPr>
    <w:rPr>
      <w:rFonts w:ascii="Times New Roman" w:hAnsi="Times New Roman"/>
      <w:b/>
      <w:sz w:val="28"/>
    </w:rPr>
  </w:style>
  <w:style w:type="character" w:customStyle="1" w:styleId="Underline">
    <w:name w:val="Underline"/>
    <w:basedOn w:val="DefaultParagraphFont"/>
    <w:qFormat/>
    <w:rsid w:val="00A65C73"/>
    <w:rPr>
      <w:u w:val="single"/>
    </w:rPr>
  </w:style>
  <w:style w:type="character" w:customStyle="1" w:styleId="BoldandItalics">
    <w:name w:val="Bold and Italics"/>
    <w:qFormat/>
    <w:rsid w:val="00A65C73"/>
    <w:rPr>
      <w:b/>
      <w:i/>
      <w:u w:val="none"/>
    </w:rPr>
  </w:style>
  <w:style w:type="paragraph" w:styleId="BalloonText">
    <w:name w:val="Balloon Text"/>
    <w:basedOn w:val="Normal"/>
    <w:link w:val="BalloonTextChar"/>
    <w:rsid w:val="00A65C73"/>
    <w:rPr>
      <w:rFonts w:ascii="Tahoma" w:hAnsi="Tahoma" w:cs="Tahoma"/>
      <w:sz w:val="16"/>
      <w:szCs w:val="16"/>
    </w:rPr>
  </w:style>
  <w:style w:type="character" w:customStyle="1" w:styleId="BalloonTextChar">
    <w:name w:val="Balloon Text Char"/>
    <w:basedOn w:val="DefaultParagraphFont"/>
    <w:link w:val="BalloonText"/>
    <w:rsid w:val="00A65C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C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C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C73"/>
    <w:rPr>
      <w:b/>
      <w:color w:val="660033"/>
      <w:spacing w:val="0"/>
    </w:rPr>
  </w:style>
  <w:style w:type="paragraph" w:customStyle="1" w:styleId="Nameditemlist">
    <w:name w:val="Named item list"/>
    <w:basedOn w:val="BodyText"/>
    <w:qFormat/>
    <w:rsid w:val="00A65C73"/>
    <w:pPr>
      <w:tabs>
        <w:tab w:val="left" w:pos="2835"/>
      </w:tabs>
      <w:ind w:left="2835" w:hanging="2835"/>
    </w:pPr>
  </w:style>
  <w:style w:type="paragraph" w:customStyle="1" w:styleId="BodyTextnopadding">
    <w:name w:val="Body Text no padding"/>
    <w:basedOn w:val="BodyText"/>
    <w:qFormat/>
    <w:rsid w:val="00A65C73"/>
    <w:pPr>
      <w:spacing w:before="0" w:after="0"/>
    </w:pPr>
  </w:style>
  <w:style w:type="paragraph" w:customStyle="1" w:styleId="BodyTextBold">
    <w:name w:val="Body Text Bold"/>
    <w:basedOn w:val="BodyText"/>
    <w:qFormat/>
    <w:rsid w:val="00A65C73"/>
    <w:rPr>
      <w:b/>
    </w:rPr>
  </w:style>
  <w:style w:type="character" w:styleId="Hyperlink">
    <w:name w:val="Hyperlink"/>
    <w:basedOn w:val="DefaultParagraphFont"/>
    <w:uiPriority w:val="99"/>
    <w:unhideWhenUsed/>
    <w:rsid w:val="002B6F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5560</Characters>
  <Application>Microsoft Office Word</Application>
  <DocSecurity>0</DocSecurity>
  <Lines>191</Lines>
  <Paragraphs>113</Paragraphs>
  <ScaleCrop>false</ScaleCrop>
  <Company>Author-it Software Corporation Ltd.</Company>
  <LinksUpToDate>false</LinksUpToDate>
  <CharactersWithSpaces>6261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DEFFIN026 Manage public sector financial compliance and assurance</dc:title>
  <dc:subject>Approved</dc:subject>
  <dc:creator>Public Skills Australia</dc:creator>
  <cp:keywords>Release: 1</cp:keywords>
  <dc:description>Review Date: 12 April 2008</dc:description>
  <cp:lastModifiedBy>HSD_TPCMSd.prod</cp:lastModifiedBy>
  <cp:revision>3</cp:revision>
  <dcterms:created xsi:type="dcterms:W3CDTF">2025-03-01T11:14:00Z</dcterms:created>
  <dcterms:modified xsi:type="dcterms:W3CDTF">2025-03-01T11:14:00Z</dcterms:modified>
</cp:coreProperties>
</file>