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5596" w:rsidP="006855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DEFFIN021 Provide administration of banking services in the public sector environment</w:t>
      </w:r>
      <w:r>
        <w:fldChar w:fldCharType="end"/>
      </w:r>
    </w:p>
    <w:p w:rsidR="00685596" w:rsidP="00685596">
      <w:pPr>
        <w:pStyle w:val="Version"/>
        <w:sectPr w:rsidSect="005B1E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1E4E" w:rsidP="005B1E4E">
      <w:pPr>
        <w:pStyle w:val="SuperHeading"/>
      </w:pPr>
      <w:r w:rsidRPr="005B1E4E">
        <w:t>DEFFIN021 Provide administration of banking services in the public sector environment</w:t>
      </w:r>
    </w:p>
    <w:p w:rsidR="00000000" w:rsidRPr="005B1E4E" w:rsidP="005B1E4E">
      <w:pPr>
        <w:pStyle w:val="Heading1"/>
      </w:pPr>
      <w:bookmarkStart w:id="1" w:name="O_957736"/>
      <w:bookmarkEnd w:id="1"/>
      <w:r w:rsidRPr="005B1E4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1E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E4E" w:rsidP="005B1E4E">
            <w:pPr>
              <w:pStyle w:val="BodyText"/>
            </w:pPr>
            <w:r w:rsidRPr="005B1E4E">
              <w:t>Release 1. This is the first release of this unit of competency in the DEF Defence Training Package.</w:t>
            </w:r>
          </w:p>
        </w:tc>
      </w:tr>
    </w:tbl>
    <w:p w:rsidR="00000000" w:rsidRPr="005B1E4E" w:rsidP="005B1E4E">
      <w:pPr>
        <w:pStyle w:val="NoPaddingFontSize1"/>
      </w:pPr>
    </w:p>
    <w:p w:rsidR="00000000" w:rsidRPr="005B1E4E" w:rsidP="005B1E4E">
      <w:pPr>
        <w:pStyle w:val="AllowPageBreak"/>
      </w:pPr>
    </w:p>
    <w:p w:rsidR="00000000" w:rsidRPr="005B1E4E" w:rsidP="005B1E4E">
      <w:pPr>
        <w:pStyle w:val="Heading1"/>
      </w:pPr>
      <w:bookmarkStart w:id="2" w:name="O_957737"/>
      <w:bookmarkEnd w:id="2"/>
      <w:r w:rsidRPr="005B1E4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1E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E4E" w:rsidP="005B1E4E">
            <w:pPr>
              <w:pStyle w:val="BodyText"/>
            </w:pPr>
            <w:r w:rsidRPr="005B1E4E">
              <w:t>This unit describes the skills required to update an official bank account, process related financial adjustments and prepare data for inclusion in monthly reports.</w:t>
            </w:r>
          </w:p>
          <w:p w:rsidR="00000000" w:rsidRPr="005B1E4E" w:rsidP="005B1E4E">
            <w:pPr>
              <w:pStyle w:val="BodyText"/>
            </w:pPr>
            <w:r w:rsidRPr="005B1E4E">
              <w:t>This unit applies to those working in the public sector Finance Domain who would be require</w:t>
            </w:r>
            <w:r w:rsidRPr="005B1E4E">
              <w:t>d to undertake financial administration activities related to banking activities as part of their duties.</w:t>
            </w:r>
          </w:p>
          <w:p w:rsidR="00000000" w:rsidRPr="005B1E4E" w:rsidP="005B1E4E">
            <w:pPr>
              <w:pStyle w:val="BodyText"/>
            </w:pPr>
            <w:r w:rsidRPr="005B1E4E">
              <w:t>The skills and knowledge described in this unit must be applied within the legislative, regulatory and policy environment in which they are carried ou</w:t>
            </w:r>
            <w:r w:rsidRPr="005B1E4E">
              <w:t>t. Organisational policies and procedures must be consulted and adhered to, particularly those related to financial management activities.</w:t>
            </w:r>
          </w:p>
          <w:p w:rsidR="00000000" w:rsidRPr="005B1E4E" w:rsidP="005B1E4E">
            <w:pPr>
              <w:pStyle w:val="BodyText"/>
            </w:pPr>
            <w:r w:rsidRPr="005B1E4E">
              <w:t>Those undertaking this unit would be working under supervision while undertaking financial management tasks. They wou</w:t>
            </w:r>
            <w:r w:rsidRPr="005B1E4E">
              <w:t>ld perform routine tasks in familiar context.</w:t>
            </w:r>
          </w:p>
          <w:p w:rsidR="00000000" w:rsidRPr="005B1E4E" w:rsidP="005B1E4E">
            <w:pPr>
              <w:pStyle w:val="BodyText"/>
            </w:pPr>
            <w:r w:rsidRPr="005B1E4E">
              <w:t>No licensing, legislative or certification requirements apply to this unit at the time of publication.</w:t>
            </w:r>
          </w:p>
        </w:tc>
      </w:tr>
    </w:tbl>
    <w:p w:rsidR="00000000" w:rsidRPr="005B1E4E" w:rsidP="005B1E4E">
      <w:pPr>
        <w:pStyle w:val="NoPaddingFontSize1"/>
      </w:pPr>
    </w:p>
    <w:p w:rsidR="00000000" w:rsidRPr="005B1E4E" w:rsidP="005B1E4E">
      <w:pPr>
        <w:pStyle w:val="AllowPageBreak"/>
      </w:pPr>
    </w:p>
    <w:p w:rsidR="00000000" w:rsidRPr="005B1E4E" w:rsidP="005B1E4E">
      <w:pPr>
        <w:pStyle w:val="Heading1"/>
      </w:pPr>
      <w:bookmarkStart w:id="3" w:name="O_957738"/>
      <w:bookmarkEnd w:id="3"/>
      <w:r w:rsidRPr="005B1E4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1E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E4E" w:rsidP="005B1E4E">
            <w:pPr>
              <w:pStyle w:val="BodyText"/>
            </w:pPr>
            <w:r w:rsidRPr="005B1E4E">
              <w:t>Not applicable.</w:t>
            </w:r>
          </w:p>
        </w:tc>
      </w:tr>
    </w:tbl>
    <w:p w:rsidR="00000000" w:rsidRPr="005B1E4E" w:rsidP="005B1E4E">
      <w:pPr>
        <w:pStyle w:val="NoPaddingFontSize1"/>
      </w:pPr>
    </w:p>
    <w:p w:rsidR="00000000" w:rsidRPr="005B1E4E" w:rsidP="005B1E4E">
      <w:pPr>
        <w:pStyle w:val="AllowPageBreak"/>
      </w:pPr>
    </w:p>
    <w:p w:rsidR="00000000" w:rsidRPr="005B1E4E" w:rsidP="005B1E4E">
      <w:pPr>
        <w:pStyle w:val="Heading1"/>
      </w:pPr>
      <w:bookmarkStart w:id="4" w:name="O_957739"/>
      <w:bookmarkEnd w:id="4"/>
      <w:r w:rsidRPr="005B1E4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1E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E4E" w:rsidP="005B1E4E">
            <w:pPr>
              <w:pStyle w:val="BodyText"/>
            </w:pPr>
            <w:r w:rsidRPr="005B1E4E">
              <w:t>Financial Managem</w:t>
            </w:r>
            <w:r w:rsidRPr="005B1E4E">
              <w:t>ent</w:t>
            </w:r>
          </w:p>
        </w:tc>
      </w:tr>
    </w:tbl>
    <w:p w:rsidR="00000000" w:rsidRPr="005B1E4E" w:rsidP="005B1E4E">
      <w:pPr>
        <w:pStyle w:val="NoPaddingFontSize1"/>
      </w:pPr>
    </w:p>
    <w:p w:rsidR="00000000" w:rsidRPr="005B1E4E" w:rsidP="005B1E4E">
      <w:pPr>
        <w:pStyle w:val="AllowPageBreak"/>
      </w:pPr>
    </w:p>
    <w:p w:rsidR="00000000" w:rsidRPr="005B1E4E" w:rsidP="005B1E4E">
      <w:pPr>
        <w:pStyle w:val="Heading1"/>
      </w:pPr>
      <w:bookmarkStart w:id="5" w:name="O_957740"/>
      <w:bookmarkEnd w:id="5"/>
      <w:r w:rsidRPr="005B1E4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1E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E4E" w:rsidP="005B1E4E">
            <w:pPr>
              <w:pStyle w:val="BodyText"/>
            </w:pPr>
            <w:r w:rsidRPr="005B1E4E">
              <w:t>Not applicable.</w:t>
            </w:r>
          </w:p>
        </w:tc>
      </w:tr>
    </w:tbl>
    <w:p w:rsidR="00000000" w:rsidRPr="005B1E4E" w:rsidP="005B1E4E">
      <w:pPr>
        <w:pStyle w:val="NoPaddingFontSize1"/>
      </w:pPr>
    </w:p>
    <w:p w:rsidR="00000000" w:rsidRPr="005B1E4E" w:rsidP="005B1E4E">
      <w:pPr>
        <w:pStyle w:val="AllowPageBreak"/>
      </w:pPr>
    </w:p>
    <w:p w:rsidR="00000000" w:rsidRPr="005B1E4E" w:rsidP="005B1E4E">
      <w:pPr>
        <w:pStyle w:val="Heading1"/>
      </w:pPr>
      <w:bookmarkStart w:id="6" w:name="O_957741"/>
      <w:bookmarkEnd w:id="6"/>
      <w:r w:rsidRPr="005B1E4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B1E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E4E" w:rsidP="005B1E4E">
            <w:pPr>
              <w:pStyle w:val="BodyText"/>
            </w:pPr>
            <w:r w:rsidRPr="005B1E4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E4E">
            <w:pPr>
              <w:pStyle w:val="BodyText"/>
              <w:rPr>
                <w:lang w:val="en-NZ"/>
              </w:rPr>
            </w:pPr>
            <w:r w:rsidRPr="005B1E4E">
              <w:rPr>
                <w:rStyle w:val="SpecialBold"/>
              </w:rPr>
              <w:t>PERFORMANCE CRITERIA</w:t>
            </w:r>
          </w:p>
        </w:tc>
      </w:tr>
      <w:tr w:rsidTr="005B1E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E4E">
            <w:pPr>
              <w:pStyle w:val="BodyText"/>
              <w:rPr>
                <w:lang w:val="en-NZ"/>
              </w:rPr>
            </w:pPr>
            <w:r w:rsidRPr="005B1E4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E4E">
            <w:pPr>
              <w:pStyle w:val="BodyText"/>
              <w:rPr>
                <w:lang w:val="en-NZ"/>
              </w:rPr>
            </w:pPr>
            <w:r w:rsidRPr="005B1E4E">
              <w:t>Performance criteria describe the performance needed to demonstrate achievement of the element.</w:t>
            </w:r>
          </w:p>
        </w:tc>
      </w:tr>
      <w:tr w:rsidTr="005B1E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E4E" w:rsidP="005B1E4E">
            <w:pPr>
              <w:pStyle w:val="BodyText"/>
            </w:pPr>
            <w:r w:rsidRPr="005B1E4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E4E" w:rsidP="005B1E4E">
            <w:pPr>
              <w:pStyle w:val="BodyText"/>
            </w:pPr>
            <w:r w:rsidRPr="005B1E4E">
              <w:rPr>
                <w:rStyle w:val="SpecialBold"/>
              </w:rPr>
              <w:t>Update official bank account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E4E">
            <w:pPr>
              <w:pStyle w:val="BodyText"/>
              <w:rPr>
                <w:lang w:val="en-NZ"/>
              </w:rPr>
            </w:pPr>
            <w:r w:rsidRPr="005B1E4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E4E">
            <w:pPr>
              <w:pStyle w:val="BodyText"/>
              <w:rPr>
                <w:lang w:val="en-NZ"/>
              </w:rPr>
            </w:pPr>
            <w:r w:rsidRPr="005B1E4E">
              <w:t>Monitor cash balances</w:t>
            </w:r>
          </w:p>
        </w:tc>
      </w:tr>
      <w:tr w:rsidTr="005B1E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E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E4E">
            <w:pPr>
              <w:pStyle w:val="BodyText"/>
              <w:rPr>
                <w:lang w:val="en-NZ"/>
              </w:rPr>
            </w:pPr>
            <w:r w:rsidRPr="005B1E4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E4E">
            <w:pPr>
              <w:pStyle w:val="BodyText"/>
              <w:rPr>
                <w:lang w:val="en-NZ"/>
              </w:rPr>
            </w:pPr>
            <w:r w:rsidRPr="005B1E4E">
              <w:t>Conduct daily bank reconciliations</w:t>
            </w:r>
          </w:p>
        </w:tc>
      </w:tr>
      <w:tr w:rsidTr="005B1E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E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E4E">
            <w:pPr>
              <w:pStyle w:val="BodyText"/>
              <w:rPr>
                <w:lang w:val="en-NZ"/>
              </w:rPr>
            </w:pPr>
            <w:r w:rsidRPr="005B1E4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E4E">
            <w:pPr>
              <w:pStyle w:val="BodyText"/>
              <w:rPr>
                <w:lang w:val="en-NZ"/>
              </w:rPr>
            </w:pPr>
            <w:r w:rsidRPr="005B1E4E">
              <w:t>Adjust bank account balances</w:t>
            </w:r>
          </w:p>
        </w:tc>
      </w:tr>
      <w:tr w:rsidTr="005B1E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E4E" w:rsidP="005B1E4E">
            <w:pPr>
              <w:pStyle w:val="BodyText"/>
            </w:pPr>
            <w:r w:rsidRPr="005B1E4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E4E" w:rsidP="005B1E4E">
            <w:pPr>
              <w:pStyle w:val="BodyText"/>
            </w:pPr>
            <w:r w:rsidRPr="005B1E4E">
              <w:rPr>
                <w:rStyle w:val="SpecialBold"/>
              </w:rPr>
              <w:t>Process financial adjustments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E4E">
            <w:pPr>
              <w:pStyle w:val="BodyText"/>
              <w:rPr>
                <w:lang w:val="en-NZ"/>
              </w:rPr>
            </w:pPr>
            <w:r w:rsidRPr="005B1E4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E4E">
            <w:pPr>
              <w:pStyle w:val="BodyText"/>
              <w:rPr>
                <w:lang w:val="en-NZ"/>
              </w:rPr>
            </w:pPr>
            <w:r w:rsidRPr="005B1E4E">
              <w:t>Process daily journals</w:t>
            </w:r>
          </w:p>
        </w:tc>
      </w:tr>
      <w:tr w:rsidTr="005B1E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E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E4E">
            <w:pPr>
              <w:pStyle w:val="BodyText"/>
              <w:rPr>
                <w:lang w:val="en-NZ"/>
              </w:rPr>
            </w:pPr>
            <w:r w:rsidRPr="005B1E4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E4E">
            <w:pPr>
              <w:pStyle w:val="BodyText"/>
              <w:rPr>
                <w:lang w:val="en-NZ"/>
              </w:rPr>
            </w:pPr>
            <w:r w:rsidRPr="005B1E4E">
              <w:t>Process end of month journals</w:t>
            </w:r>
          </w:p>
        </w:tc>
      </w:tr>
      <w:tr w:rsidTr="005B1E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E4E" w:rsidP="005B1E4E">
            <w:pPr>
              <w:pStyle w:val="BodyText"/>
            </w:pPr>
            <w:r w:rsidRPr="005B1E4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E4E" w:rsidP="005B1E4E">
            <w:pPr>
              <w:pStyle w:val="BodyText"/>
            </w:pPr>
            <w:r w:rsidRPr="005B1E4E">
              <w:rPr>
                <w:rStyle w:val="SpecialBold"/>
              </w:rPr>
              <w:t>Prepare data for monthly reporting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E4E">
            <w:pPr>
              <w:pStyle w:val="BodyText"/>
              <w:rPr>
                <w:lang w:val="en-NZ"/>
              </w:rPr>
            </w:pPr>
            <w:r w:rsidRPr="005B1E4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E4E">
            <w:pPr>
              <w:pStyle w:val="BodyText"/>
              <w:rPr>
                <w:lang w:val="en-NZ"/>
              </w:rPr>
            </w:pPr>
            <w:r w:rsidRPr="005B1E4E">
              <w:t>Gather data from relevant financial systems for inclusion in monthly reports</w:t>
            </w:r>
          </w:p>
        </w:tc>
      </w:tr>
      <w:tr w:rsidTr="005B1E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E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E4E">
            <w:pPr>
              <w:pStyle w:val="BodyText"/>
              <w:rPr>
                <w:lang w:val="en-NZ"/>
              </w:rPr>
            </w:pPr>
            <w:r w:rsidRPr="005B1E4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E4E" w:rsidP="005B1E4E">
            <w:pPr>
              <w:pStyle w:val="BodyText"/>
            </w:pPr>
            <w:r w:rsidRPr="005B1E4E">
              <w:t>Provide data for inclusio</w:t>
            </w:r>
            <w:r w:rsidRPr="005B1E4E">
              <w:t>n in reports</w:t>
            </w:r>
          </w:p>
        </w:tc>
      </w:tr>
    </w:tbl>
    <w:p w:rsidR="00000000" w:rsidRPr="005B1E4E" w:rsidP="005B1E4E">
      <w:pPr>
        <w:pStyle w:val="NoPaddingFontSize1"/>
      </w:pPr>
    </w:p>
    <w:p w:rsidR="00000000" w:rsidRPr="005B1E4E" w:rsidP="005B1E4E">
      <w:pPr>
        <w:pStyle w:val="AllowPageBreak"/>
      </w:pPr>
    </w:p>
    <w:p w:rsidR="00000000" w:rsidRPr="005B1E4E" w:rsidP="005B1E4E">
      <w:pPr>
        <w:pStyle w:val="Heading1"/>
      </w:pPr>
      <w:bookmarkStart w:id="7" w:name="O_957742"/>
      <w:bookmarkEnd w:id="7"/>
      <w:r w:rsidRPr="005B1E4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1E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E4E" w:rsidP="005B1E4E">
            <w:pPr>
              <w:pStyle w:val="BodyText"/>
            </w:pPr>
            <w:r w:rsidRPr="005B1E4E">
              <w:t>Foundation skills essential to performance are explicit in the performance criteria of this unit of competency.</w:t>
            </w:r>
          </w:p>
        </w:tc>
      </w:tr>
    </w:tbl>
    <w:p w:rsidR="00000000" w:rsidRPr="005B1E4E" w:rsidP="005B1E4E">
      <w:pPr>
        <w:pStyle w:val="NoPaddingFontSize1"/>
      </w:pPr>
    </w:p>
    <w:p w:rsidR="00000000" w:rsidRPr="005B1E4E" w:rsidP="005B1E4E">
      <w:pPr>
        <w:pStyle w:val="AllowPageBreak"/>
      </w:pPr>
    </w:p>
    <w:p w:rsidR="00000000" w:rsidRPr="005B1E4E" w:rsidP="005B1E4E">
      <w:pPr>
        <w:pStyle w:val="Heading1"/>
      </w:pPr>
      <w:bookmarkStart w:id="8" w:name="O_957743"/>
      <w:bookmarkEnd w:id="8"/>
      <w:r w:rsidRPr="005B1E4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1E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E4E" w:rsidP="005B1E4E">
            <w:pPr>
              <w:pStyle w:val="BodyText"/>
            </w:pPr>
            <w:r w:rsidRPr="005B1E4E">
              <w:t>Range is restricted to essential operating conditions and any other variables essential to the work environment.</w:t>
            </w:r>
          </w:p>
          <w:p w:rsidR="00000000" w:rsidRPr="005B1E4E" w:rsidP="005B1E4E">
            <w:pPr>
              <w:pStyle w:val="BodyText"/>
            </w:pPr>
            <w:r w:rsidRPr="005B1E4E">
              <w:t>Non-essential conditions may be found in the Companion Volume Implementation Guide.</w:t>
            </w:r>
          </w:p>
        </w:tc>
      </w:tr>
    </w:tbl>
    <w:p w:rsidR="00000000" w:rsidRPr="005B1E4E" w:rsidP="005B1E4E">
      <w:pPr>
        <w:pStyle w:val="NoPaddingFontSize1"/>
      </w:pPr>
    </w:p>
    <w:p w:rsidR="00000000" w:rsidRPr="005B1E4E" w:rsidP="005B1E4E">
      <w:pPr>
        <w:pStyle w:val="AllowPageBreak"/>
      </w:pPr>
    </w:p>
    <w:p w:rsidR="00000000" w:rsidRPr="005B1E4E" w:rsidP="005B1E4E">
      <w:pPr>
        <w:pStyle w:val="Heading1"/>
      </w:pPr>
      <w:bookmarkStart w:id="9" w:name="O_957744"/>
      <w:bookmarkEnd w:id="9"/>
      <w:r w:rsidRPr="005B1E4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1E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E4E" w:rsidP="005B1E4E">
            <w:pPr>
              <w:pStyle w:val="BodyText"/>
            </w:pPr>
            <w:r w:rsidRPr="005B1E4E">
              <w:t>No equivalent u</w:t>
            </w:r>
            <w:r w:rsidRPr="005B1E4E">
              <w:t>nit.</w:t>
            </w:r>
          </w:p>
        </w:tc>
      </w:tr>
    </w:tbl>
    <w:p w:rsidR="00000000" w:rsidRPr="005B1E4E" w:rsidP="005B1E4E">
      <w:pPr>
        <w:pStyle w:val="NoPaddingFontSize1"/>
      </w:pPr>
    </w:p>
    <w:p w:rsidR="00000000" w:rsidRPr="005B1E4E" w:rsidP="005B1E4E">
      <w:pPr>
        <w:pStyle w:val="AllowPageBreak"/>
      </w:pPr>
    </w:p>
    <w:p w:rsidR="00000000" w:rsidRPr="005B1E4E" w:rsidP="005B1E4E">
      <w:pPr>
        <w:pStyle w:val="Heading1"/>
      </w:pPr>
      <w:bookmarkStart w:id="10" w:name="O_957751"/>
      <w:bookmarkEnd w:id="10"/>
      <w:r w:rsidRPr="005B1E4E">
        <w:t>Links</w:t>
      </w:r>
    </w:p>
    <w:p w:rsidR="00000000" w:rsidRPr="005B1E4E" w:rsidP="00685596">
      <w:pPr>
        <w:pStyle w:val="BodyText"/>
      </w:pPr>
      <w:r w:rsidRPr="005B1E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FD284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5B1E4E" w:rsidP="005B1E4E"/>
    <w:sectPr w:rsidSect="005B1E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E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E4E" w:rsidRPr="00685596" w:rsidP="006855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E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596" w:rsidP="005B1E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5596" w:rsidP="005B1E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685596" w:rsidP="005B1E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E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5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1E4E" w:rsidRPr="00685596" w:rsidP="006855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E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596" w:rsidRPr="002D2AF8" w:rsidP="005B1E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DEFFIN021 Provide administration of banking services in the public sector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685596" w:rsidP="005B1E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1E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1E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1E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1E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1E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1E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1E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1E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1E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1E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1E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1E4E"/>
  </w:style>
  <w:style w:type="character" w:customStyle="1" w:styleId="Heading1Char">
    <w:name w:val="Heading 1 Char"/>
    <w:basedOn w:val="DefaultParagraphFont"/>
    <w:link w:val="Heading1"/>
    <w:rsid w:val="005B1E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1E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1E4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B1E4E"/>
    <w:rPr>
      <w:b/>
      <w:spacing w:val="0"/>
    </w:rPr>
  </w:style>
  <w:style w:type="paragraph" w:customStyle="1" w:styleId="SuperHeading">
    <w:name w:val="SuperHeading"/>
    <w:basedOn w:val="Normal"/>
    <w:rsid w:val="005B1E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1E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B1E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1E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1E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1E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1E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1E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1E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1E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1E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1E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1E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1E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1E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1E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1E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1E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1E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1E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1E4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1E4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B1E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1E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1E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1E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1E4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1E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1E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1E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1E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1E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1E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1E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1E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1E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1E4E"/>
    <w:rPr>
      <w:i/>
    </w:rPr>
  </w:style>
  <w:style w:type="paragraph" w:styleId="Caption">
    <w:name w:val="caption"/>
    <w:basedOn w:val="BodyText"/>
    <w:next w:val="Normal"/>
    <w:qFormat/>
    <w:rsid w:val="005B1E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1E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1E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1E4E"/>
  </w:style>
  <w:style w:type="paragraph" w:styleId="TableofFigures">
    <w:name w:val="table of figures"/>
    <w:basedOn w:val="Normal"/>
    <w:next w:val="Normal"/>
    <w:semiHidden/>
    <w:rsid w:val="005B1E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1E4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B1E4E"/>
    <w:rPr>
      <w:rFonts w:ascii="Wingdings" w:hAnsi="Wingdings"/>
    </w:rPr>
  </w:style>
  <w:style w:type="paragraph" w:customStyle="1" w:styleId="TableHeading">
    <w:name w:val="Table Heading"/>
    <w:basedOn w:val="HeadingBase"/>
    <w:rsid w:val="005B1E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1E4E"/>
    <w:rPr>
      <w:color w:val="0033CC"/>
      <w:u w:val="none"/>
    </w:rPr>
  </w:style>
  <w:style w:type="paragraph" w:customStyle="1" w:styleId="BodyTextRight">
    <w:name w:val="Body Text Right"/>
    <w:basedOn w:val="BodyText"/>
    <w:rsid w:val="005B1E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1E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1E4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1E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1E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1E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1E4E"/>
    <w:rPr>
      <w:sz w:val="32"/>
    </w:rPr>
  </w:style>
  <w:style w:type="paragraph" w:customStyle="1" w:styleId="HeadingProcedure">
    <w:name w:val="Heading Procedure"/>
    <w:basedOn w:val="HeadingBase"/>
    <w:next w:val="Normal"/>
    <w:rsid w:val="005B1E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1E4E"/>
    <w:pPr>
      <w:spacing w:before="60" w:after="60"/>
    </w:pPr>
  </w:style>
  <w:style w:type="paragraph" w:styleId="ListContinue">
    <w:name w:val="List Continue"/>
    <w:basedOn w:val="List"/>
    <w:rsid w:val="005B1E4E"/>
    <w:pPr>
      <w:ind w:firstLine="0"/>
    </w:pPr>
  </w:style>
  <w:style w:type="paragraph" w:customStyle="1" w:styleId="ListNote">
    <w:name w:val="List Note"/>
    <w:basedOn w:val="List"/>
    <w:rsid w:val="005B1E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1E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1E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1E4E"/>
    <w:rPr>
      <w:rFonts w:ascii="Courier New" w:hAnsi="Courier New"/>
    </w:rPr>
  </w:style>
  <w:style w:type="paragraph" w:customStyle="1" w:styleId="NoteBullet">
    <w:name w:val="Note Bullet"/>
    <w:basedOn w:val="Note"/>
    <w:rsid w:val="005B1E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1E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1E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1E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1E4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B1E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1E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1E4E"/>
    <w:rPr>
      <w:b/>
      <w:smallCaps/>
    </w:rPr>
  </w:style>
  <w:style w:type="paragraph" w:customStyle="1" w:styleId="TableListNumber">
    <w:name w:val="Table List Number"/>
    <w:basedOn w:val="ListNumber"/>
    <w:rsid w:val="005B1E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1E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1E4E"/>
    <w:pPr>
      <w:numPr>
        <w:numId w:val="7"/>
      </w:numPr>
    </w:pPr>
  </w:style>
  <w:style w:type="paragraph" w:customStyle="1" w:styleId="ListAlpha2">
    <w:name w:val="List Alpha 2"/>
    <w:basedOn w:val="List2"/>
    <w:rsid w:val="005B1E4E"/>
    <w:pPr>
      <w:numPr>
        <w:numId w:val="6"/>
      </w:numPr>
    </w:pPr>
  </w:style>
  <w:style w:type="paragraph" w:styleId="List2">
    <w:name w:val="List 2"/>
    <w:basedOn w:val="BodyText"/>
    <w:rsid w:val="005B1E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1E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1E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1E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1E4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1E4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B1E4E"/>
    <w:pPr>
      <w:numPr>
        <w:numId w:val="2"/>
      </w:numPr>
    </w:pPr>
  </w:style>
  <w:style w:type="paragraph" w:styleId="ListContinue2">
    <w:name w:val="List Continue 2"/>
    <w:basedOn w:val="List2"/>
    <w:rsid w:val="005B1E4E"/>
    <w:pPr>
      <w:ind w:firstLine="0"/>
    </w:pPr>
  </w:style>
  <w:style w:type="paragraph" w:styleId="ListContinue3">
    <w:name w:val="List Continue 3"/>
    <w:basedOn w:val="List3"/>
    <w:rsid w:val="005B1E4E"/>
    <w:pPr>
      <w:ind w:left="1021" w:firstLine="0"/>
    </w:pPr>
  </w:style>
  <w:style w:type="paragraph" w:styleId="ListContinue4">
    <w:name w:val="List Continue 4"/>
    <w:basedOn w:val="List4"/>
    <w:rsid w:val="005B1E4E"/>
    <w:pPr>
      <w:ind w:firstLine="0"/>
    </w:pPr>
  </w:style>
  <w:style w:type="paragraph" w:styleId="ListContinue5">
    <w:name w:val="List Continue 5"/>
    <w:basedOn w:val="List5"/>
    <w:rsid w:val="005B1E4E"/>
    <w:pPr>
      <w:ind w:firstLine="0"/>
    </w:pPr>
  </w:style>
  <w:style w:type="paragraph" w:styleId="ListNumber3">
    <w:name w:val="List Number 3"/>
    <w:basedOn w:val="List3"/>
    <w:rsid w:val="005B1E4E"/>
    <w:pPr>
      <w:numPr>
        <w:numId w:val="3"/>
      </w:numPr>
    </w:pPr>
  </w:style>
  <w:style w:type="paragraph" w:styleId="ListNumber4">
    <w:name w:val="List Number 4"/>
    <w:basedOn w:val="List4"/>
    <w:rsid w:val="005B1E4E"/>
    <w:pPr>
      <w:numPr>
        <w:numId w:val="4"/>
      </w:numPr>
    </w:pPr>
  </w:style>
  <w:style w:type="paragraph" w:styleId="ListNumber5">
    <w:name w:val="List Number 5"/>
    <w:basedOn w:val="List5"/>
    <w:rsid w:val="005B1E4E"/>
    <w:pPr>
      <w:numPr>
        <w:numId w:val="5"/>
      </w:numPr>
    </w:pPr>
  </w:style>
  <w:style w:type="paragraph" w:styleId="BlockText">
    <w:name w:val="Block Text"/>
    <w:basedOn w:val="Normal"/>
    <w:rsid w:val="005B1E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1E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1E4E"/>
    <w:rPr>
      <w:sz w:val="16"/>
      <w:vertAlign w:val="superscript"/>
    </w:rPr>
  </w:style>
  <w:style w:type="character" w:customStyle="1" w:styleId="Symbols">
    <w:name w:val="Symbols"/>
    <w:basedOn w:val="DefaultParagraphFont"/>
    <w:rsid w:val="005B1E4E"/>
    <w:rPr>
      <w:rFonts w:ascii="Symbol" w:hAnsi="Symbol"/>
    </w:rPr>
  </w:style>
  <w:style w:type="character" w:customStyle="1" w:styleId="MenuOptions">
    <w:name w:val="Menu Options"/>
    <w:basedOn w:val="DefaultParagraphFont"/>
    <w:rsid w:val="005B1E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1E4E"/>
    <w:rPr>
      <w:b/>
    </w:rPr>
  </w:style>
  <w:style w:type="character" w:customStyle="1" w:styleId="Underlined">
    <w:name w:val="Underlined"/>
    <w:basedOn w:val="DefaultParagraphFont"/>
    <w:rsid w:val="005B1E4E"/>
    <w:rPr>
      <w:u w:val="single"/>
    </w:rPr>
  </w:style>
  <w:style w:type="paragraph" w:customStyle="1" w:styleId="TableBodyTextRight">
    <w:name w:val="Table Body Text Right"/>
    <w:basedOn w:val="TableBodyText"/>
    <w:rsid w:val="005B1E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1E4E"/>
    <w:rPr>
      <w:sz w:val="18"/>
    </w:rPr>
  </w:style>
  <w:style w:type="paragraph" w:customStyle="1" w:styleId="BodySmallRight">
    <w:name w:val="Body Small Right"/>
    <w:basedOn w:val="BodyTextRight"/>
    <w:rsid w:val="005B1E4E"/>
    <w:rPr>
      <w:sz w:val="18"/>
      <w:szCs w:val="18"/>
    </w:rPr>
  </w:style>
  <w:style w:type="paragraph" w:customStyle="1" w:styleId="MarginEdition">
    <w:name w:val="Margin Edition"/>
    <w:basedOn w:val="MarginNote"/>
    <w:rsid w:val="005B1E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1E4E"/>
    <w:rPr>
      <w:sz w:val="2"/>
      <w:szCs w:val="2"/>
    </w:rPr>
  </w:style>
  <w:style w:type="character" w:customStyle="1" w:styleId="Small">
    <w:name w:val="Small"/>
    <w:basedOn w:val="DefaultParagraphFont"/>
    <w:rsid w:val="005B1E4E"/>
    <w:rPr>
      <w:sz w:val="16"/>
    </w:rPr>
  </w:style>
  <w:style w:type="paragraph" w:customStyle="1" w:styleId="WideTable">
    <w:name w:val="Wide Table"/>
    <w:basedOn w:val="Normal"/>
    <w:rsid w:val="005B1E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1E4E"/>
  </w:style>
  <w:style w:type="paragraph" w:styleId="Quote">
    <w:name w:val="Quote"/>
    <w:basedOn w:val="Heading1"/>
    <w:link w:val="QuoteChar"/>
    <w:qFormat/>
    <w:rsid w:val="005B1E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1E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1E4E"/>
    <w:pPr>
      <w:pageBreakBefore/>
    </w:pPr>
  </w:style>
  <w:style w:type="paragraph" w:customStyle="1" w:styleId="Border">
    <w:name w:val="Border"/>
    <w:basedOn w:val="Normal"/>
    <w:qFormat/>
    <w:rsid w:val="005B1E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1E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1E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1E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1E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1E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1E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1E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1E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1E4E"/>
    <w:rPr>
      <w:u w:val="single"/>
    </w:rPr>
  </w:style>
  <w:style w:type="character" w:customStyle="1" w:styleId="BoldandItalics">
    <w:name w:val="Bold and Italics"/>
    <w:qFormat/>
    <w:rsid w:val="005B1E4E"/>
    <w:rPr>
      <w:b/>
      <w:i/>
      <w:u w:val="none"/>
    </w:rPr>
  </w:style>
  <w:style w:type="paragraph" w:styleId="BalloonText">
    <w:name w:val="Balloon Text"/>
    <w:basedOn w:val="Normal"/>
    <w:link w:val="BalloonTextChar"/>
    <w:rsid w:val="005B1E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1E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1E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1E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1E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1E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1E4E"/>
    <w:pPr>
      <w:spacing w:before="0" w:after="0"/>
    </w:pPr>
  </w:style>
  <w:style w:type="paragraph" w:customStyle="1" w:styleId="BodyTextBold">
    <w:name w:val="Body Text Bold"/>
    <w:basedOn w:val="BodyText"/>
    <w:qFormat/>
    <w:rsid w:val="005B1E4E"/>
    <w:rPr>
      <w:b/>
    </w:rPr>
  </w:style>
  <w:style w:type="character" w:styleId="Hyperlink">
    <w:name w:val="Hyperlink"/>
    <w:basedOn w:val="DefaultParagraphFont"/>
    <w:uiPriority w:val="99"/>
    <w:unhideWhenUsed/>
    <w:rsid w:val="006855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366</Words>
  <Characters>2323</Characters>
  <Application>Microsoft Office Word</Application>
  <DocSecurity>0</DocSecurity>
  <Lines>105</Lines>
  <Paragraphs>64</Paragraphs>
  <ScaleCrop>false</ScaleCrop>
  <Company>Author-it Software Corporation Ltd.</Company>
  <LinksUpToDate>false</LinksUpToDate>
  <CharactersWithSpaces>2625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DEFFIN021 Provide administration of banking services in the public sector environment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2024-11-07T12:20:00Z</dcterms:created>
  <dcterms:modified xsi:type="dcterms:W3CDTF">2024-11-07T12:20:00Z</dcterms:modified>
</cp:coreProperties>
</file>