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583" w:rsidP="006D6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DEFFIN020 Perform taxation administration in the public sector environment</w:t>
      </w:r>
      <w:r>
        <w:fldChar w:fldCharType="end"/>
      </w:r>
    </w:p>
    <w:p w:rsidR="006D6583" w:rsidP="006D6583">
      <w:pPr>
        <w:pStyle w:val="Version"/>
        <w:sectPr w:rsidSect="00E27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11A" w:rsidP="00E2711A">
      <w:pPr>
        <w:pStyle w:val="SuperHeading"/>
      </w:pPr>
      <w:r w:rsidRPr="00E2711A">
        <w:t>DEFFIN020 Perform taxation administration in the public sector environment</w:t>
      </w:r>
    </w:p>
    <w:p w:rsidR="00000000" w:rsidRPr="00E2711A" w:rsidP="00E2711A">
      <w:pPr>
        <w:pStyle w:val="Heading1"/>
      </w:pPr>
      <w:bookmarkStart w:id="1" w:name="O_957717"/>
      <w:bookmarkEnd w:id="1"/>
      <w:r w:rsidRPr="00E271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Release 1. This is the first release of this unit of competency in the DEF Defence Training Package.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2" w:name="O_957718"/>
      <w:bookmarkEnd w:id="2"/>
      <w:r w:rsidRPr="00E271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This unit describes the skills and knowledge required to perform taxation accounting, prepare tax returns, and monitor taxation compliance.</w:t>
            </w:r>
          </w:p>
          <w:p w:rsidR="00000000" w:rsidRPr="00E2711A" w:rsidP="00E2711A">
            <w:pPr>
              <w:pStyle w:val="BodyText"/>
            </w:pPr>
            <w:r w:rsidRPr="00E2711A">
              <w:t xml:space="preserve">This unit applies to those working in the public sector Finance Domain who would be required to undertake financial </w:t>
            </w:r>
            <w:r w:rsidRPr="00E2711A">
              <w:t>management activities related to taxation as part of their duties.</w:t>
            </w:r>
          </w:p>
          <w:p w:rsidR="00000000" w:rsidRPr="00E2711A" w:rsidP="00E2711A">
            <w:pPr>
              <w:pStyle w:val="BodyText"/>
            </w:pPr>
            <w:r w:rsidRPr="00E2711A">
              <w:t>The skills and knowledge described in this unit must be applied within the legislative, regulatory and policy environment in which they are carried out. Organisational policies and procedur</w:t>
            </w:r>
            <w:r w:rsidRPr="00E2711A">
              <w:t>es must be consulted and adhered to, particularly those related to financial management activities.</w:t>
            </w:r>
          </w:p>
          <w:p w:rsidR="00000000" w:rsidRPr="00E2711A" w:rsidP="00E2711A">
            <w:pPr>
              <w:pStyle w:val="BodyText"/>
            </w:pPr>
            <w:r w:rsidRPr="00E2711A">
              <w:t>Those undertaking this unit would be working under minimal supervision and/or supervising small teams while undertaking financial management tasks. They wou</w:t>
            </w:r>
            <w:r w:rsidRPr="00E2711A">
              <w:t>ld perform complex tasks in familiar context.</w:t>
            </w:r>
          </w:p>
          <w:p w:rsidR="00000000" w:rsidRPr="00E2711A" w:rsidP="00E2711A">
            <w:pPr>
              <w:pStyle w:val="BodyText"/>
            </w:pPr>
            <w:r w:rsidRPr="00E2711A">
              <w:t>No licensing, legislative or certification requirements apply to this unit at the time of publication.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3" w:name="O_957719"/>
      <w:bookmarkEnd w:id="3"/>
      <w:r w:rsidRPr="00E271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Not applicable.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4" w:name="O_957720"/>
      <w:bookmarkEnd w:id="4"/>
      <w:r w:rsidRPr="00E271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Financial Managem</w:t>
            </w:r>
            <w:r w:rsidRPr="00E2711A">
              <w:t>ent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5" w:name="O_957721"/>
      <w:bookmarkEnd w:id="5"/>
      <w:r w:rsidRPr="00E271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Not applicable.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6" w:name="O_957722"/>
      <w:bookmarkEnd w:id="6"/>
      <w:r w:rsidRPr="00E2711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PERFORMANCE CRITERIA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Performance criteria describe the performance needed to demonstrate achievement of the element.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rPr>
                <w:rStyle w:val="SpecialBold"/>
              </w:rPr>
              <w:t>Perform taxation accounting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Extract report from the relevant financial systems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Verify that taxation data is accurate and complete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Prepare and process journal or payment documentation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Reconcile accounts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rPr>
                <w:rStyle w:val="SpecialBold"/>
              </w:rPr>
              <w:t>Prepare tax returns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Collate data for inclusion in tax return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Perform calculations and categorise information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Review calculations for accuracy and applicabil</w:t>
            </w:r>
            <w:r w:rsidRPr="00E2711A">
              <w:t>ity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Compile and submit tax return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rPr>
                <w:rStyle w:val="SpecialBold"/>
              </w:rPr>
              <w:t>Monitor taxation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Investigate sample transactions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t>Identify issues within the sample data</w:t>
            </w:r>
          </w:p>
        </w:tc>
      </w:tr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1A">
            <w:pPr>
              <w:pStyle w:val="BodyText"/>
              <w:rPr>
                <w:lang w:val="en-NZ"/>
              </w:rPr>
            </w:pPr>
            <w:r w:rsidRPr="00E2711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Advise on solutions and initiate corrective action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7" w:name="O_957723"/>
      <w:bookmarkEnd w:id="7"/>
      <w:r w:rsidRPr="00E271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Foundation skills essential to performance are explicit in the performance criteria of this unit of competency.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8" w:name="O_957724"/>
      <w:bookmarkEnd w:id="8"/>
      <w:r w:rsidRPr="00E271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Range is restricted to essential operating conditions and any other variables essential to the work envir</w:t>
            </w:r>
            <w:r w:rsidRPr="00E2711A">
              <w:t>onment.</w:t>
            </w:r>
          </w:p>
          <w:p w:rsidR="00000000" w:rsidRPr="00E2711A" w:rsidP="00E2711A">
            <w:pPr>
              <w:pStyle w:val="BodyText"/>
            </w:pPr>
            <w:r w:rsidRPr="00E2711A">
              <w:t>Non-essential conditions may be found in the Companion Volume Implementation Guide.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9" w:name="O_957725"/>
      <w:bookmarkEnd w:id="9"/>
      <w:r w:rsidRPr="00E271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1A" w:rsidP="00E2711A">
            <w:pPr>
              <w:pStyle w:val="BodyText"/>
            </w:pPr>
            <w:r w:rsidRPr="00E2711A">
              <w:t>No equivalent unit.</w:t>
            </w:r>
          </w:p>
        </w:tc>
      </w:tr>
    </w:tbl>
    <w:p w:rsidR="00000000" w:rsidRPr="00E2711A" w:rsidP="00E2711A">
      <w:pPr>
        <w:pStyle w:val="NoPaddingFontSize1"/>
      </w:pPr>
    </w:p>
    <w:p w:rsidR="00000000" w:rsidRPr="00E2711A" w:rsidP="00E2711A">
      <w:pPr>
        <w:pStyle w:val="AllowPageBreak"/>
      </w:pPr>
    </w:p>
    <w:p w:rsidR="00000000" w:rsidRPr="00E2711A" w:rsidP="00E2711A">
      <w:pPr>
        <w:pStyle w:val="Heading1"/>
      </w:pPr>
      <w:bookmarkStart w:id="10" w:name="O_957732"/>
      <w:bookmarkEnd w:id="10"/>
      <w:r w:rsidRPr="00E2711A">
        <w:t>Links</w:t>
      </w:r>
    </w:p>
    <w:p w:rsidR="00000000" w:rsidRPr="00E2711A" w:rsidP="006D6583">
      <w:pPr>
        <w:pStyle w:val="BodyText"/>
      </w:pPr>
      <w:r w:rsidRPr="00E271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6208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2711A" w:rsidP="00E2711A"/>
    <w:sectPr w:rsidSect="00E27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1A" w:rsidRPr="006D6583" w:rsidP="006D6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83" w:rsidP="00E27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6583" w:rsidP="00E27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D6583" w:rsidP="00E27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11A" w:rsidRPr="006D6583" w:rsidP="006D6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83" w:rsidRPr="002D2AF8" w:rsidP="00E27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DEFFIN020 Perform taxation administration in the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D6583" w:rsidP="00E27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11A"/>
  </w:style>
  <w:style w:type="character" w:customStyle="1" w:styleId="Heading1Char">
    <w:name w:val="Heading 1 Char"/>
    <w:basedOn w:val="DefaultParagraphFont"/>
    <w:link w:val="Heading1"/>
    <w:rsid w:val="00E27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1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711A"/>
    <w:rPr>
      <w:b/>
      <w:spacing w:val="0"/>
    </w:rPr>
  </w:style>
  <w:style w:type="paragraph" w:customStyle="1" w:styleId="SuperHeading">
    <w:name w:val="SuperHeading"/>
    <w:basedOn w:val="Normal"/>
    <w:rsid w:val="00E27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7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1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71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7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1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11A"/>
    <w:rPr>
      <w:i/>
    </w:rPr>
  </w:style>
  <w:style w:type="paragraph" w:styleId="Caption">
    <w:name w:val="caption"/>
    <w:basedOn w:val="BodyText"/>
    <w:next w:val="Normal"/>
    <w:qFormat/>
    <w:rsid w:val="00E27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11A"/>
  </w:style>
  <w:style w:type="paragraph" w:styleId="TableofFigures">
    <w:name w:val="table of figures"/>
    <w:basedOn w:val="Normal"/>
    <w:next w:val="Normal"/>
    <w:semiHidden/>
    <w:rsid w:val="00E27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1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711A"/>
    <w:rPr>
      <w:rFonts w:ascii="Wingdings" w:hAnsi="Wingdings"/>
    </w:rPr>
  </w:style>
  <w:style w:type="paragraph" w:customStyle="1" w:styleId="TableHeading">
    <w:name w:val="Table Heading"/>
    <w:basedOn w:val="HeadingBase"/>
    <w:rsid w:val="00E27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11A"/>
    <w:rPr>
      <w:color w:val="0033CC"/>
      <w:u w:val="none"/>
    </w:rPr>
  </w:style>
  <w:style w:type="paragraph" w:customStyle="1" w:styleId="BodyTextRight">
    <w:name w:val="Body Text Right"/>
    <w:basedOn w:val="BodyText"/>
    <w:rsid w:val="00E27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1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11A"/>
    <w:rPr>
      <w:sz w:val="32"/>
    </w:rPr>
  </w:style>
  <w:style w:type="paragraph" w:customStyle="1" w:styleId="HeadingProcedure">
    <w:name w:val="Heading Procedure"/>
    <w:basedOn w:val="HeadingBase"/>
    <w:next w:val="Normal"/>
    <w:rsid w:val="00E27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11A"/>
    <w:pPr>
      <w:spacing w:before="60" w:after="60"/>
    </w:pPr>
  </w:style>
  <w:style w:type="paragraph" w:styleId="ListContinue">
    <w:name w:val="List Continue"/>
    <w:basedOn w:val="List"/>
    <w:rsid w:val="00E2711A"/>
    <w:pPr>
      <w:ind w:firstLine="0"/>
    </w:pPr>
  </w:style>
  <w:style w:type="paragraph" w:customStyle="1" w:styleId="ListNote">
    <w:name w:val="List Note"/>
    <w:basedOn w:val="List"/>
    <w:rsid w:val="00E27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11A"/>
    <w:rPr>
      <w:rFonts w:ascii="Courier New" w:hAnsi="Courier New"/>
    </w:rPr>
  </w:style>
  <w:style w:type="paragraph" w:customStyle="1" w:styleId="NoteBullet">
    <w:name w:val="Note Bullet"/>
    <w:basedOn w:val="Note"/>
    <w:rsid w:val="00E27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1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7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11A"/>
    <w:rPr>
      <w:b/>
      <w:smallCaps/>
    </w:rPr>
  </w:style>
  <w:style w:type="paragraph" w:customStyle="1" w:styleId="TableListNumber">
    <w:name w:val="Table List Number"/>
    <w:basedOn w:val="ListNumber"/>
    <w:rsid w:val="00E27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11A"/>
    <w:pPr>
      <w:numPr>
        <w:numId w:val="7"/>
      </w:numPr>
    </w:pPr>
  </w:style>
  <w:style w:type="paragraph" w:customStyle="1" w:styleId="ListAlpha2">
    <w:name w:val="List Alpha 2"/>
    <w:basedOn w:val="List2"/>
    <w:rsid w:val="00E2711A"/>
    <w:pPr>
      <w:numPr>
        <w:numId w:val="6"/>
      </w:numPr>
    </w:pPr>
  </w:style>
  <w:style w:type="paragraph" w:styleId="List2">
    <w:name w:val="List 2"/>
    <w:basedOn w:val="BodyText"/>
    <w:rsid w:val="00E27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1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1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711A"/>
    <w:pPr>
      <w:numPr>
        <w:numId w:val="2"/>
      </w:numPr>
    </w:pPr>
  </w:style>
  <w:style w:type="paragraph" w:styleId="ListContinue2">
    <w:name w:val="List Continue 2"/>
    <w:basedOn w:val="List2"/>
    <w:rsid w:val="00E2711A"/>
    <w:pPr>
      <w:ind w:firstLine="0"/>
    </w:pPr>
  </w:style>
  <w:style w:type="paragraph" w:styleId="ListContinue3">
    <w:name w:val="List Continue 3"/>
    <w:basedOn w:val="List3"/>
    <w:rsid w:val="00E2711A"/>
    <w:pPr>
      <w:ind w:left="1021" w:firstLine="0"/>
    </w:pPr>
  </w:style>
  <w:style w:type="paragraph" w:styleId="ListContinue4">
    <w:name w:val="List Continue 4"/>
    <w:basedOn w:val="List4"/>
    <w:rsid w:val="00E2711A"/>
    <w:pPr>
      <w:ind w:firstLine="0"/>
    </w:pPr>
  </w:style>
  <w:style w:type="paragraph" w:styleId="ListContinue5">
    <w:name w:val="List Continue 5"/>
    <w:basedOn w:val="List5"/>
    <w:rsid w:val="00E2711A"/>
    <w:pPr>
      <w:ind w:firstLine="0"/>
    </w:pPr>
  </w:style>
  <w:style w:type="paragraph" w:styleId="ListNumber3">
    <w:name w:val="List Number 3"/>
    <w:basedOn w:val="List3"/>
    <w:rsid w:val="00E2711A"/>
    <w:pPr>
      <w:numPr>
        <w:numId w:val="3"/>
      </w:numPr>
    </w:pPr>
  </w:style>
  <w:style w:type="paragraph" w:styleId="ListNumber4">
    <w:name w:val="List Number 4"/>
    <w:basedOn w:val="List4"/>
    <w:rsid w:val="00E2711A"/>
    <w:pPr>
      <w:numPr>
        <w:numId w:val="4"/>
      </w:numPr>
    </w:pPr>
  </w:style>
  <w:style w:type="paragraph" w:styleId="ListNumber5">
    <w:name w:val="List Number 5"/>
    <w:basedOn w:val="List5"/>
    <w:rsid w:val="00E2711A"/>
    <w:pPr>
      <w:numPr>
        <w:numId w:val="5"/>
      </w:numPr>
    </w:pPr>
  </w:style>
  <w:style w:type="paragraph" w:styleId="BlockText">
    <w:name w:val="Block Text"/>
    <w:basedOn w:val="Normal"/>
    <w:rsid w:val="00E27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11A"/>
    <w:rPr>
      <w:sz w:val="16"/>
      <w:vertAlign w:val="superscript"/>
    </w:rPr>
  </w:style>
  <w:style w:type="character" w:customStyle="1" w:styleId="Symbols">
    <w:name w:val="Symbols"/>
    <w:basedOn w:val="DefaultParagraphFont"/>
    <w:rsid w:val="00E2711A"/>
    <w:rPr>
      <w:rFonts w:ascii="Symbol" w:hAnsi="Symbol"/>
    </w:rPr>
  </w:style>
  <w:style w:type="character" w:customStyle="1" w:styleId="MenuOptions">
    <w:name w:val="Menu Options"/>
    <w:basedOn w:val="DefaultParagraphFont"/>
    <w:rsid w:val="00E27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11A"/>
    <w:rPr>
      <w:b/>
    </w:rPr>
  </w:style>
  <w:style w:type="character" w:customStyle="1" w:styleId="Underlined">
    <w:name w:val="Underlined"/>
    <w:basedOn w:val="DefaultParagraphFont"/>
    <w:rsid w:val="00E2711A"/>
    <w:rPr>
      <w:u w:val="single"/>
    </w:rPr>
  </w:style>
  <w:style w:type="paragraph" w:customStyle="1" w:styleId="TableBodyTextRight">
    <w:name w:val="Table Body Text Right"/>
    <w:basedOn w:val="TableBodyText"/>
    <w:rsid w:val="00E27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11A"/>
    <w:rPr>
      <w:sz w:val="18"/>
    </w:rPr>
  </w:style>
  <w:style w:type="paragraph" w:customStyle="1" w:styleId="BodySmallRight">
    <w:name w:val="Body Small Right"/>
    <w:basedOn w:val="BodyTextRight"/>
    <w:rsid w:val="00E2711A"/>
    <w:rPr>
      <w:sz w:val="18"/>
      <w:szCs w:val="18"/>
    </w:rPr>
  </w:style>
  <w:style w:type="paragraph" w:customStyle="1" w:styleId="MarginEdition">
    <w:name w:val="Margin Edition"/>
    <w:basedOn w:val="MarginNote"/>
    <w:rsid w:val="00E27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11A"/>
    <w:rPr>
      <w:sz w:val="2"/>
      <w:szCs w:val="2"/>
    </w:rPr>
  </w:style>
  <w:style w:type="character" w:customStyle="1" w:styleId="Small">
    <w:name w:val="Small"/>
    <w:basedOn w:val="DefaultParagraphFont"/>
    <w:rsid w:val="00E2711A"/>
    <w:rPr>
      <w:sz w:val="16"/>
    </w:rPr>
  </w:style>
  <w:style w:type="paragraph" w:customStyle="1" w:styleId="WideTable">
    <w:name w:val="Wide Table"/>
    <w:basedOn w:val="Normal"/>
    <w:rsid w:val="00E27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11A"/>
  </w:style>
  <w:style w:type="paragraph" w:styleId="Quote">
    <w:name w:val="Quote"/>
    <w:basedOn w:val="Heading1"/>
    <w:link w:val="QuoteChar"/>
    <w:qFormat/>
    <w:rsid w:val="00E27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11A"/>
    <w:pPr>
      <w:pageBreakBefore/>
    </w:pPr>
  </w:style>
  <w:style w:type="paragraph" w:customStyle="1" w:styleId="Border">
    <w:name w:val="Border"/>
    <w:basedOn w:val="Normal"/>
    <w:qFormat/>
    <w:rsid w:val="00E27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11A"/>
    <w:rPr>
      <w:u w:val="single"/>
    </w:rPr>
  </w:style>
  <w:style w:type="character" w:customStyle="1" w:styleId="BoldandItalics">
    <w:name w:val="Bold and Italics"/>
    <w:qFormat/>
    <w:rsid w:val="00E2711A"/>
    <w:rPr>
      <w:b/>
      <w:i/>
      <w:u w:val="none"/>
    </w:rPr>
  </w:style>
  <w:style w:type="paragraph" w:styleId="BalloonText">
    <w:name w:val="Balloon Text"/>
    <w:basedOn w:val="Normal"/>
    <w:link w:val="BalloonTextChar"/>
    <w:rsid w:val="00E27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11A"/>
    <w:pPr>
      <w:spacing w:before="0" w:after="0"/>
    </w:pPr>
  </w:style>
  <w:style w:type="paragraph" w:customStyle="1" w:styleId="BodyTextBold">
    <w:name w:val="Body Text Bold"/>
    <w:basedOn w:val="BodyText"/>
    <w:qFormat/>
    <w:rsid w:val="00E2711A"/>
    <w:rPr>
      <w:b/>
    </w:rPr>
  </w:style>
  <w:style w:type="character" w:styleId="Hyperlink">
    <w:name w:val="Hyperlink"/>
    <w:basedOn w:val="DefaultParagraphFont"/>
    <w:uiPriority w:val="99"/>
    <w:unhideWhenUsed/>
    <w:rsid w:val="006D6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2489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DEFFIN020 Perform taxation administration in the public sector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2024-11-07T11:52:00Z</dcterms:created>
  <dcterms:modified xsi:type="dcterms:W3CDTF">2024-11-07T11:52:00Z</dcterms:modified>
</cp:coreProperties>
</file>