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CD3" w:rsidP="009F0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DEFEXO604 Conduct explosive ordnance test and evaluation processes</w:t>
      </w:r>
      <w:r>
        <w:fldChar w:fldCharType="end"/>
      </w:r>
    </w:p>
    <w:p w:rsidR="009F0CD3" w:rsidP="009F0CD3">
      <w:pPr>
        <w:pStyle w:val="Version"/>
        <w:sectPr w:rsidSect="00AA3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4D5" w:rsidP="00AA34D5">
      <w:pPr>
        <w:pStyle w:val="SuperHeading"/>
      </w:pPr>
      <w:r w:rsidRPr="00AA34D5">
        <w:t>DEFEXO604 Conduct explosive ordnance test and evaluation processes</w:t>
      </w:r>
    </w:p>
    <w:p w:rsidR="00000000" w:rsidRPr="00AA34D5" w:rsidP="00AA34D5">
      <w:pPr>
        <w:pStyle w:val="Heading1"/>
      </w:pPr>
      <w:bookmarkStart w:id="1" w:name="O_1298381"/>
      <w:bookmarkEnd w:id="1"/>
      <w:r w:rsidRPr="00AA34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Release 1. This is the first release of this unit of competency in the DEF Defence Training Package.</w:t>
            </w:r>
          </w:p>
        </w:tc>
      </w:tr>
    </w:tbl>
    <w:p w:rsidR="009F0CD3" w:rsidP="00AA34D5">
      <w:pPr>
        <w:pStyle w:val="NoPaddingFontSize1"/>
      </w:pPr>
    </w:p>
    <w:p w:rsidR="009F0CD3" w:rsidP="00AA34D5">
      <w:pPr>
        <w:pStyle w:val="NoPaddingFontSize1"/>
      </w:pPr>
    </w:p>
    <w:p w:rsidR="00000000" w:rsidRPr="00AA34D5" w:rsidP="00AA34D5">
      <w:pPr>
        <w:pStyle w:val="Heading1"/>
      </w:pPr>
      <w:bookmarkStart w:id="2" w:name="O_1298389"/>
      <w:bookmarkEnd w:id="2"/>
      <w:r w:rsidRPr="00AA34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This unit describes the skills and knowledge required to conduct explosive ordnance test and evaluation processes.</w:t>
            </w:r>
          </w:p>
          <w:p w:rsidR="00000000" w:rsidRPr="00AA34D5" w:rsidP="00AA34D5">
            <w:pPr>
              <w:pStyle w:val="BodyText"/>
            </w:pPr>
            <w:r w:rsidRPr="00AA34D5">
              <w:t xml:space="preserve">It includes identifying test requirements, determining test and evaluation methodology, developing and finalising test and evaluation plans, </w:t>
            </w:r>
            <w:r w:rsidRPr="00AA34D5">
              <w:t>determining post-trial report structure, drafting reports, and preparing and distributing a final report.</w:t>
            </w:r>
          </w:p>
          <w:p w:rsidR="00000000" w:rsidRPr="00AA34D5" w:rsidP="00AA34D5">
            <w:pPr>
              <w:pStyle w:val="BodyText"/>
            </w:pPr>
            <w:r w:rsidRPr="00AA34D5">
              <w:t>This unit applies to Defence explosive ordnance test and evaluation supervisors, managers and team leaders but is applicable to any individuals who wo</w:t>
            </w:r>
            <w:r w:rsidRPr="00AA34D5">
              <w:t>rk in this field.</w:t>
            </w:r>
          </w:p>
          <w:p w:rsidR="00000000" w:rsidRPr="00AA34D5" w:rsidP="00AA34D5">
            <w:pPr>
              <w:pStyle w:val="BodyText"/>
            </w:pPr>
            <w:r w:rsidRPr="00AA34D5">
              <w:t>This unit must be applied within the legislative, regulatory and policy environment in which the work is undertaken. Organisational policies and procedures must be consulted and adhered to.</w:t>
            </w:r>
          </w:p>
          <w:p w:rsidR="00000000" w:rsidRPr="00AA34D5" w:rsidP="00AA34D5">
            <w:pPr>
              <w:pStyle w:val="BodyText"/>
            </w:pPr>
            <w:r w:rsidRPr="00AA34D5">
              <w:t>Those undertaking this unit would work independe</w:t>
            </w:r>
            <w:r w:rsidRPr="00AA34D5">
              <w:t>ntly or as part of a team under direct and indirect supervision, use discretion and judgement and take responsibility for the quality of their output. They would perform complex tasks in a range of contexts.</w:t>
            </w:r>
          </w:p>
          <w:p w:rsidR="00000000" w:rsidRPr="00AA34D5" w:rsidP="00AA34D5">
            <w:pPr>
              <w:pStyle w:val="BodyText"/>
            </w:pPr>
            <w:r w:rsidRPr="00AA34D5">
              <w:t>No licensing, legislative or certification requi</w:t>
            </w:r>
            <w:r w:rsidRPr="00AA34D5">
              <w:t>rements apply to this unit at the time of publication.</w:t>
            </w:r>
          </w:p>
        </w:tc>
      </w:tr>
    </w:tbl>
    <w:p w:rsidR="009F0CD3" w:rsidP="00AA34D5">
      <w:pPr>
        <w:pStyle w:val="NoPaddingFontSize1"/>
      </w:pPr>
    </w:p>
    <w:p w:rsidR="009F0CD3" w:rsidP="00AA34D5">
      <w:pPr>
        <w:pStyle w:val="NoPaddingFontSize1"/>
      </w:pPr>
    </w:p>
    <w:p w:rsidR="00000000" w:rsidRPr="00AA34D5" w:rsidP="00AA34D5">
      <w:pPr>
        <w:pStyle w:val="Heading1"/>
      </w:pPr>
      <w:bookmarkStart w:id="3" w:name="O_1298388"/>
      <w:bookmarkEnd w:id="3"/>
      <w:r w:rsidRPr="00AA34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Not applicable</w:t>
            </w:r>
          </w:p>
        </w:tc>
      </w:tr>
    </w:tbl>
    <w:p w:rsidR="009F0CD3" w:rsidP="00AA34D5">
      <w:pPr>
        <w:pStyle w:val="NoPaddingFontSize1"/>
      </w:pPr>
    </w:p>
    <w:p w:rsidR="009F0CD3" w:rsidP="00AA34D5">
      <w:pPr>
        <w:pStyle w:val="NoPaddingFontSize1"/>
      </w:pPr>
    </w:p>
    <w:p w:rsidR="00000000" w:rsidRPr="00AA34D5" w:rsidP="00AA34D5">
      <w:pPr>
        <w:pStyle w:val="Heading1"/>
      </w:pPr>
      <w:bookmarkStart w:id="4" w:name="O_1298387"/>
      <w:bookmarkEnd w:id="4"/>
      <w:r w:rsidRPr="00AA34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Explosive Ordnance</w:t>
            </w:r>
          </w:p>
        </w:tc>
      </w:tr>
    </w:tbl>
    <w:p w:rsidR="00000000" w:rsidRPr="00AA34D5" w:rsidP="00AA34D5">
      <w:pPr>
        <w:pStyle w:val="NoPaddingFontSize1"/>
      </w:pPr>
    </w:p>
    <w:p w:rsidR="00000000" w:rsidRPr="00AA34D5" w:rsidP="00AA34D5">
      <w:pPr>
        <w:pStyle w:val="AllowPageBreak"/>
      </w:pPr>
    </w:p>
    <w:p w:rsidR="00000000" w:rsidRPr="00AA34D5" w:rsidP="00AA34D5">
      <w:pPr>
        <w:pStyle w:val="Heading1"/>
      </w:pPr>
      <w:bookmarkStart w:id="5" w:name="O_1298386"/>
      <w:bookmarkEnd w:id="5"/>
      <w:r w:rsidRPr="00AA34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Not applicable</w:t>
            </w:r>
          </w:p>
        </w:tc>
      </w:tr>
    </w:tbl>
    <w:p w:rsidR="00000000" w:rsidRPr="00AA34D5" w:rsidP="00AA34D5">
      <w:pPr>
        <w:pStyle w:val="NoPaddingFontSize1"/>
      </w:pPr>
    </w:p>
    <w:p w:rsidR="00000000" w:rsidRPr="00AA34D5" w:rsidP="00AA34D5">
      <w:pPr>
        <w:pStyle w:val="AllowPageBreak"/>
      </w:pPr>
    </w:p>
    <w:p w:rsidR="00000000" w:rsidRPr="00AA34D5" w:rsidP="00AA34D5">
      <w:pPr>
        <w:pStyle w:val="Heading1"/>
      </w:pPr>
      <w:bookmarkStart w:id="6" w:name="O_1298385"/>
      <w:bookmarkEnd w:id="6"/>
      <w:r w:rsidRPr="00AA34D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758"/>
        <w:gridCol w:w="662"/>
        <w:gridCol w:w="5627"/>
      </w:tblGrid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PERFORMANCE CRITERIA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Performance criteria describe the performance needed to demonstrate achievement of the element.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 xml:space="preserve">1. 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Apply knowledge of explosive ordnance testing and evaluation processes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Analyse and review different testing and evaluation types within the explosive ordnance environment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 xml:space="preserve">Explain the tests conducted on or with explosive ordnance 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Explain the relevant legislative or certification requirements that apply to the test and evaluation of explosive ordnance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Explain how to categorise explosive substances and/or articles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2.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Develop explosive ordnance test and evaluation plans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Id</w:t>
            </w:r>
            <w:r w:rsidRPr="00AA34D5">
              <w:t xml:space="preserve">entify explosive ordnance test and evaluation requirements and complete resources scoping activities 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Define aims, objectives, capability baseline and impacts in test plan and timeframes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Consult relevant specialists to determine test conditions, environmental constraints, evidence requirements, potential risks, and monitoring of key performance indicators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Clarify and agree skills, roles and responsibilities of team members and stake</w:t>
            </w:r>
            <w:r w:rsidRPr="00AA34D5">
              <w:t>holders, and identify reporting requirements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Determine preferred test and evaluation options that best fit organisational requirements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Develop explosive ordnance customer test and evaluation plan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Seek and obtain relevant approvals in</w:t>
            </w:r>
            <w:r w:rsidRPr="00AA34D5">
              <w:t xml:space="preserve"> accordance with legislative or certification requirements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3.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Prepare to implement explosive ordnance test and evaluation plan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 xml:space="preserve">Identify requirements for data management, analysis, tools, and storage 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 xml:space="preserve">Define test safety requirements 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Prom</w:t>
            </w:r>
            <w:r w:rsidRPr="00AA34D5">
              <w:t>ulgate and maintain test and evaluation plans and test plan approvals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4.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Conduct explosive ordnance test and evaluation processes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Conduct explosive ordnance test and evaluation in accordance with approved plan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Monitor explosive ordnance test an</w:t>
            </w:r>
            <w:r w:rsidRPr="00AA34D5">
              <w:t>d evaluation plan and amend as required based on changing circumstances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Record test outcomes and observations in accordance with original test scope and parameters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5.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rPr>
                <w:rStyle w:val="SpecialBold"/>
              </w:rPr>
              <w:t>Prepare and distribute explosive ordnance test and evaluation report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Collate, interpret, and summarise data and information to prepare content that satisfies report purposes and objectives in accordance with original test scope and parameters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Draft and receive feedback on draft report in accordance with organisationa</w:t>
            </w:r>
            <w:r w:rsidRPr="00AA34D5">
              <w:t>l policies and procedures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t>Prepare and distribute final report in accordance with organisational policies and procedures</w:t>
            </w:r>
          </w:p>
        </w:tc>
      </w:tr>
      <w:tr w:rsidTr="009F0C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>
            <w:pPr>
              <w:pStyle w:val="BodyText"/>
              <w:keepLines w:val="0"/>
              <w:spacing w:before="0" w:after="0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D5">
            <w:pPr>
              <w:pStyle w:val="BodyText"/>
              <w:rPr>
                <w:lang w:val="en-NZ"/>
              </w:rPr>
            </w:pPr>
            <w:r w:rsidRPr="00AA34D5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Maintain records in accordance with organisational policies and procedures</w:t>
            </w:r>
          </w:p>
        </w:tc>
      </w:tr>
    </w:tbl>
    <w:p w:rsidR="00000000" w:rsidRPr="00AA34D5" w:rsidP="00AA34D5">
      <w:pPr>
        <w:pStyle w:val="NoPaddingFontSize1"/>
      </w:pPr>
    </w:p>
    <w:p w:rsidR="00000000" w:rsidRPr="00AA34D5" w:rsidP="00AA34D5">
      <w:pPr>
        <w:pStyle w:val="AllowPageBreak"/>
      </w:pPr>
    </w:p>
    <w:p w:rsidR="00000000" w:rsidRPr="00AA34D5" w:rsidP="00AA34D5">
      <w:pPr>
        <w:pStyle w:val="Heading1"/>
      </w:pPr>
      <w:bookmarkStart w:id="7" w:name="O_1298384"/>
      <w:bookmarkEnd w:id="7"/>
      <w:r w:rsidRPr="00AA34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Foundati</w:t>
            </w:r>
            <w:r w:rsidRPr="00AA34D5">
              <w:t>on skills essential to performance are explicit in the performance criteria of this unit of competency.</w:t>
            </w:r>
          </w:p>
        </w:tc>
      </w:tr>
    </w:tbl>
    <w:p w:rsidR="00000000" w:rsidRPr="00AA34D5" w:rsidP="00AA34D5">
      <w:pPr>
        <w:pStyle w:val="NoPaddingFontSize1"/>
      </w:pPr>
    </w:p>
    <w:p w:rsidR="00000000" w:rsidRPr="00AA34D5" w:rsidP="00AA34D5">
      <w:pPr>
        <w:pStyle w:val="AllowPageBreak"/>
      </w:pPr>
    </w:p>
    <w:p w:rsidR="00000000" w:rsidRPr="00AA34D5" w:rsidP="00AA34D5">
      <w:pPr>
        <w:pStyle w:val="Heading1"/>
      </w:pPr>
      <w:bookmarkStart w:id="8" w:name="O_1298383"/>
      <w:bookmarkEnd w:id="8"/>
      <w:r w:rsidRPr="00AA34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Range is restricted to essential operating conditions and any other variables essential to the work environment.</w:t>
            </w:r>
          </w:p>
          <w:p w:rsidR="00000000" w:rsidRPr="00AA34D5" w:rsidP="00AA34D5">
            <w:pPr>
              <w:pStyle w:val="BodyText"/>
            </w:pPr>
            <w:r w:rsidRPr="00AA34D5">
              <w:t>Non-essential conditions may be found in the Companion Volume Implementation Guide.</w:t>
            </w:r>
          </w:p>
        </w:tc>
      </w:tr>
    </w:tbl>
    <w:p w:rsidR="00000000" w:rsidRPr="00AA34D5" w:rsidP="00AA34D5">
      <w:pPr>
        <w:pStyle w:val="NoPaddingFontSize1"/>
      </w:pPr>
    </w:p>
    <w:p w:rsidR="00000000" w:rsidRPr="00AA34D5" w:rsidP="00AA34D5">
      <w:pPr>
        <w:pStyle w:val="AllowPageBreak"/>
      </w:pPr>
    </w:p>
    <w:p w:rsidR="00000000" w:rsidRPr="00AA34D5" w:rsidP="00AA34D5">
      <w:pPr>
        <w:pStyle w:val="Heading1"/>
      </w:pPr>
      <w:bookmarkStart w:id="9" w:name="O_1298382"/>
      <w:bookmarkEnd w:id="9"/>
      <w:r w:rsidRPr="00AA34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4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D5" w:rsidP="00AA34D5">
            <w:pPr>
              <w:pStyle w:val="BodyText"/>
            </w:pPr>
            <w:r w:rsidRPr="00AA34D5">
              <w:t>No equivalent</w:t>
            </w:r>
            <w:r w:rsidRPr="00AA34D5">
              <w:t xml:space="preserve"> unit of competency.</w:t>
            </w:r>
          </w:p>
        </w:tc>
      </w:tr>
    </w:tbl>
    <w:p w:rsidR="00000000" w:rsidRPr="00AA34D5" w:rsidP="00AA34D5">
      <w:pPr>
        <w:pStyle w:val="NoPaddingFontSize1"/>
      </w:pPr>
    </w:p>
    <w:p w:rsidR="00000000" w:rsidRPr="00AA34D5" w:rsidP="00AA34D5">
      <w:pPr>
        <w:pStyle w:val="AllowPageBreak"/>
      </w:pPr>
    </w:p>
    <w:p w:rsidR="00000000" w:rsidRPr="00AA34D5" w:rsidP="00AA34D5">
      <w:pPr>
        <w:pStyle w:val="Heading1"/>
      </w:pPr>
      <w:bookmarkStart w:id="10" w:name="O_1298375"/>
      <w:bookmarkEnd w:id="10"/>
      <w:r w:rsidRPr="00AA34D5">
        <w:t>Links</w:t>
      </w:r>
    </w:p>
    <w:p w:rsidR="00000000" w:rsidRPr="00AA34D5" w:rsidP="009F0CD3">
      <w:pPr>
        <w:pStyle w:val="BodyText"/>
      </w:pPr>
      <w:r w:rsidRPr="00AA34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6731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A34D5" w:rsidP="00AA34D5"/>
    <w:sectPr w:rsidSect="00AA34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D5" w:rsidRPr="009F0CD3" w:rsidP="009F0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D3" w:rsidP="00AA3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CD3" w:rsidP="00AA3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0CD3" w:rsidP="00AA3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4D5" w:rsidRPr="009F0CD3" w:rsidP="009F0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D3" w:rsidRPr="002D2AF8" w:rsidP="00AA3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DEFEXO604 Conduct explosive ordnance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9F0CD3" w:rsidP="00AA3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4D5"/>
  </w:style>
  <w:style w:type="character" w:customStyle="1" w:styleId="Heading1Char">
    <w:name w:val="Heading 1 Char"/>
    <w:basedOn w:val="DefaultParagraphFont"/>
    <w:link w:val="Heading1"/>
    <w:rsid w:val="00AA3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4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34D5"/>
    <w:rPr>
      <w:b/>
      <w:spacing w:val="0"/>
    </w:rPr>
  </w:style>
  <w:style w:type="paragraph" w:customStyle="1" w:styleId="SuperHeading">
    <w:name w:val="SuperHeading"/>
    <w:basedOn w:val="Normal"/>
    <w:rsid w:val="00AA3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3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4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4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34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3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4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4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4D5"/>
    <w:rPr>
      <w:i/>
    </w:rPr>
  </w:style>
  <w:style w:type="paragraph" w:styleId="Caption">
    <w:name w:val="caption"/>
    <w:basedOn w:val="BodyText"/>
    <w:next w:val="Normal"/>
    <w:qFormat/>
    <w:rsid w:val="00AA3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4D5"/>
  </w:style>
  <w:style w:type="paragraph" w:styleId="TableofFigures">
    <w:name w:val="table of figures"/>
    <w:basedOn w:val="Normal"/>
    <w:next w:val="Normal"/>
    <w:semiHidden/>
    <w:rsid w:val="00AA3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4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34D5"/>
    <w:rPr>
      <w:rFonts w:ascii="Wingdings" w:hAnsi="Wingdings"/>
    </w:rPr>
  </w:style>
  <w:style w:type="paragraph" w:customStyle="1" w:styleId="TableHeading">
    <w:name w:val="Table Heading"/>
    <w:basedOn w:val="HeadingBase"/>
    <w:rsid w:val="00AA3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4D5"/>
    <w:rPr>
      <w:color w:val="0033CC"/>
      <w:u w:val="none"/>
    </w:rPr>
  </w:style>
  <w:style w:type="paragraph" w:customStyle="1" w:styleId="BodyTextRight">
    <w:name w:val="Body Text Right"/>
    <w:basedOn w:val="BodyText"/>
    <w:rsid w:val="00AA3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4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4D5"/>
    <w:rPr>
      <w:sz w:val="32"/>
    </w:rPr>
  </w:style>
  <w:style w:type="paragraph" w:customStyle="1" w:styleId="HeadingProcedure">
    <w:name w:val="Heading Procedure"/>
    <w:basedOn w:val="HeadingBase"/>
    <w:next w:val="Normal"/>
    <w:rsid w:val="00AA3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4D5"/>
    <w:pPr>
      <w:spacing w:before="60" w:after="60"/>
    </w:pPr>
  </w:style>
  <w:style w:type="paragraph" w:styleId="ListContinue">
    <w:name w:val="List Continue"/>
    <w:basedOn w:val="List"/>
    <w:rsid w:val="00AA34D5"/>
    <w:pPr>
      <w:ind w:firstLine="0"/>
    </w:pPr>
  </w:style>
  <w:style w:type="paragraph" w:customStyle="1" w:styleId="ListNote">
    <w:name w:val="List Note"/>
    <w:basedOn w:val="List"/>
    <w:rsid w:val="00AA3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4D5"/>
    <w:rPr>
      <w:rFonts w:ascii="Courier New" w:hAnsi="Courier New"/>
    </w:rPr>
  </w:style>
  <w:style w:type="paragraph" w:customStyle="1" w:styleId="NoteBullet">
    <w:name w:val="Note Bullet"/>
    <w:basedOn w:val="Note"/>
    <w:rsid w:val="00AA3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4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3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4D5"/>
    <w:rPr>
      <w:b/>
      <w:smallCaps/>
    </w:rPr>
  </w:style>
  <w:style w:type="paragraph" w:customStyle="1" w:styleId="TableListNumber">
    <w:name w:val="Table List Number"/>
    <w:basedOn w:val="ListNumber"/>
    <w:rsid w:val="00AA3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4D5"/>
    <w:pPr>
      <w:numPr>
        <w:numId w:val="7"/>
      </w:numPr>
    </w:pPr>
  </w:style>
  <w:style w:type="paragraph" w:customStyle="1" w:styleId="ListAlpha2">
    <w:name w:val="List Alpha 2"/>
    <w:basedOn w:val="List2"/>
    <w:rsid w:val="00AA34D5"/>
    <w:pPr>
      <w:numPr>
        <w:numId w:val="6"/>
      </w:numPr>
    </w:pPr>
  </w:style>
  <w:style w:type="paragraph" w:styleId="List2">
    <w:name w:val="List 2"/>
    <w:basedOn w:val="BodyText"/>
    <w:rsid w:val="00AA3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4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4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34D5"/>
    <w:pPr>
      <w:numPr>
        <w:numId w:val="2"/>
      </w:numPr>
    </w:pPr>
  </w:style>
  <w:style w:type="paragraph" w:styleId="ListContinue2">
    <w:name w:val="List Continue 2"/>
    <w:basedOn w:val="List2"/>
    <w:rsid w:val="00AA34D5"/>
    <w:pPr>
      <w:ind w:firstLine="0"/>
    </w:pPr>
  </w:style>
  <w:style w:type="paragraph" w:styleId="ListContinue3">
    <w:name w:val="List Continue 3"/>
    <w:basedOn w:val="List3"/>
    <w:rsid w:val="00AA34D5"/>
    <w:pPr>
      <w:ind w:left="1021" w:firstLine="0"/>
    </w:pPr>
  </w:style>
  <w:style w:type="paragraph" w:styleId="ListContinue4">
    <w:name w:val="List Continue 4"/>
    <w:basedOn w:val="List4"/>
    <w:rsid w:val="00AA34D5"/>
    <w:pPr>
      <w:ind w:firstLine="0"/>
    </w:pPr>
  </w:style>
  <w:style w:type="paragraph" w:styleId="ListContinue5">
    <w:name w:val="List Continue 5"/>
    <w:basedOn w:val="List5"/>
    <w:rsid w:val="00AA34D5"/>
    <w:pPr>
      <w:ind w:firstLine="0"/>
    </w:pPr>
  </w:style>
  <w:style w:type="paragraph" w:styleId="ListNumber3">
    <w:name w:val="List Number 3"/>
    <w:basedOn w:val="List3"/>
    <w:rsid w:val="00AA34D5"/>
    <w:pPr>
      <w:numPr>
        <w:numId w:val="3"/>
      </w:numPr>
    </w:pPr>
  </w:style>
  <w:style w:type="paragraph" w:styleId="ListNumber4">
    <w:name w:val="List Number 4"/>
    <w:basedOn w:val="List4"/>
    <w:rsid w:val="00AA34D5"/>
    <w:pPr>
      <w:numPr>
        <w:numId w:val="4"/>
      </w:numPr>
    </w:pPr>
  </w:style>
  <w:style w:type="paragraph" w:styleId="ListNumber5">
    <w:name w:val="List Number 5"/>
    <w:basedOn w:val="List5"/>
    <w:rsid w:val="00AA34D5"/>
    <w:pPr>
      <w:numPr>
        <w:numId w:val="5"/>
      </w:numPr>
    </w:pPr>
  </w:style>
  <w:style w:type="paragraph" w:styleId="BlockText">
    <w:name w:val="Block Text"/>
    <w:basedOn w:val="Normal"/>
    <w:rsid w:val="00AA3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4D5"/>
    <w:rPr>
      <w:sz w:val="16"/>
      <w:vertAlign w:val="superscript"/>
    </w:rPr>
  </w:style>
  <w:style w:type="character" w:customStyle="1" w:styleId="Symbols">
    <w:name w:val="Symbols"/>
    <w:basedOn w:val="DefaultParagraphFont"/>
    <w:rsid w:val="00AA34D5"/>
    <w:rPr>
      <w:rFonts w:ascii="Symbol" w:hAnsi="Symbol"/>
    </w:rPr>
  </w:style>
  <w:style w:type="character" w:customStyle="1" w:styleId="MenuOptions">
    <w:name w:val="Menu Options"/>
    <w:basedOn w:val="DefaultParagraphFont"/>
    <w:rsid w:val="00AA3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4D5"/>
    <w:rPr>
      <w:b/>
    </w:rPr>
  </w:style>
  <w:style w:type="character" w:customStyle="1" w:styleId="Underlined">
    <w:name w:val="Underlined"/>
    <w:basedOn w:val="DefaultParagraphFont"/>
    <w:rsid w:val="00AA34D5"/>
    <w:rPr>
      <w:u w:val="single"/>
    </w:rPr>
  </w:style>
  <w:style w:type="paragraph" w:customStyle="1" w:styleId="TableBodyTextRight">
    <w:name w:val="Table Body Text Right"/>
    <w:basedOn w:val="TableBodyText"/>
    <w:rsid w:val="00AA3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4D5"/>
    <w:rPr>
      <w:sz w:val="18"/>
    </w:rPr>
  </w:style>
  <w:style w:type="paragraph" w:customStyle="1" w:styleId="BodySmallRight">
    <w:name w:val="Body Small Right"/>
    <w:basedOn w:val="BodyTextRight"/>
    <w:rsid w:val="00AA34D5"/>
    <w:rPr>
      <w:sz w:val="18"/>
      <w:szCs w:val="18"/>
    </w:rPr>
  </w:style>
  <w:style w:type="paragraph" w:customStyle="1" w:styleId="MarginEdition">
    <w:name w:val="Margin Edition"/>
    <w:basedOn w:val="MarginNote"/>
    <w:rsid w:val="00AA3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4D5"/>
    <w:rPr>
      <w:sz w:val="2"/>
      <w:szCs w:val="2"/>
    </w:rPr>
  </w:style>
  <w:style w:type="character" w:customStyle="1" w:styleId="Small">
    <w:name w:val="Small"/>
    <w:basedOn w:val="DefaultParagraphFont"/>
    <w:rsid w:val="00AA34D5"/>
    <w:rPr>
      <w:sz w:val="16"/>
    </w:rPr>
  </w:style>
  <w:style w:type="paragraph" w:customStyle="1" w:styleId="WideTable">
    <w:name w:val="Wide Table"/>
    <w:basedOn w:val="Normal"/>
    <w:rsid w:val="00AA3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4D5"/>
  </w:style>
  <w:style w:type="paragraph" w:styleId="Quote">
    <w:name w:val="Quote"/>
    <w:basedOn w:val="Heading1"/>
    <w:link w:val="QuoteChar"/>
    <w:qFormat/>
    <w:rsid w:val="00AA3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4D5"/>
    <w:pPr>
      <w:pageBreakBefore/>
    </w:pPr>
  </w:style>
  <w:style w:type="paragraph" w:customStyle="1" w:styleId="Border">
    <w:name w:val="Border"/>
    <w:basedOn w:val="Normal"/>
    <w:qFormat/>
    <w:rsid w:val="00AA3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4D5"/>
    <w:rPr>
      <w:u w:val="single"/>
    </w:rPr>
  </w:style>
  <w:style w:type="character" w:customStyle="1" w:styleId="BoldandItalics">
    <w:name w:val="Bold and Italics"/>
    <w:qFormat/>
    <w:rsid w:val="00AA34D5"/>
    <w:rPr>
      <w:b/>
      <w:i/>
      <w:u w:val="none"/>
    </w:rPr>
  </w:style>
  <w:style w:type="paragraph" w:styleId="BalloonText">
    <w:name w:val="Balloon Text"/>
    <w:basedOn w:val="Normal"/>
    <w:link w:val="BalloonTextChar"/>
    <w:rsid w:val="00AA3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4D5"/>
    <w:pPr>
      <w:spacing w:before="0" w:after="0"/>
    </w:pPr>
  </w:style>
  <w:style w:type="paragraph" w:customStyle="1" w:styleId="BodyTextBold">
    <w:name w:val="Body Text Bold"/>
    <w:basedOn w:val="BodyText"/>
    <w:qFormat/>
    <w:rsid w:val="00AA34D5"/>
    <w:rPr>
      <w:b/>
    </w:rPr>
  </w:style>
  <w:style w:type="character" w:styleId="Hyperlink">
    <w:name w:val="Hyperlink"/>
    <w:basedOn w:val="DefaultParagraphFont"/>
    <w:uiPriority w:val="99"/>
    <w:unhideWhenUsed/>
    <w:rsid w:val="009F0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4200</Characters>
  <Application>Microsoft Office Word</Application>
  <DocSecurity>0</DocSecurity>
  <Lines>200</Lines>
  <Paragraphs>101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DEFEXO604 Conduct explosive ordnance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