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9B9" w:rsidP="00705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DEFEXO604 Conduct explosive ordnance test and evaluation processes</w:t>
      </w:r>
      <w:r>
        <w:fldChar w:fldCharType="end"/>
      </w:r>
    </w:p>
    <w:p w:rsidR="007059B9" w:rsidP="007059B9">
      <w:pPr>
        <w:pStyle w:val="Version"/>
        <w:sectPr w:rsidSect="00840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C12" w:rsidP="00840C12">
      <w:pPr>
        <w:pStyle w:val="SuperHeading"/>
      </w:pPr>
      <w:r w:rsidRPr="00840C12">
        <w:t>DEFEXO604 Conduct explosive ordnance test and evaluation processes</w:t>
      </w:r>
    </w:p>
    <w:p w:rsidR="00000000" w:rsidRPr="00840C12" w:rsidP="00840C12">
      <w:pPr>
        <w:pStyle w:val="Heading1"/>
      </w:pPr>
      <w:bookmarkStart w:id="1" w:name="O_1298381"/>
      <w:bookmarkEnd w:id="1"/>
      <w:r w:rsidRPr="00840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Release 1. This is the first release of this unit of competency in the DEF Defence Training Package.</w:t>
            </w:r>
          </w:p>
        </w:tc>
      </w:tr>
    </w:tbl>
    <w:p w:rsidR="007059B9" w:rsidP="00840C12">
      <w:pPr>
        <w:pStyle w:val="NoPaddingFontSize1"/>
      </w:pPr>
    </w:p>
    <w:p w:rsidR="007059B9" w:rsidP="00840C12">
      <w:pPr>
        <w:pStyle w:val="NoPaddingFontSize1"/>
      </w:pPr>
    </w:p>
    <w:p w:rsidR="00000000" w:rsidRPr="00840C12" w:rsidP="00840C12">
      <w:pPr>
        <w:pStyle w:val="Heading1"/>
      </w:pPr>
      <w:bookmarkStart w:id="2" w:name="O_1298389"/>
      <w:bookmarkEnd w:id="2"/>
      <w:r w:rsidRPr="00840C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This unit describes the skills and knowledge required to conduct explosive ordnance test and evaluation processes.</w:t>
            </w:r>
          </w:p>
          <w:p w:rsidR="00000000" w:rsidRPr="00840C12" w:rsidP="00840C12">
            <w:pPr>
              <w:pStyle w:val="BodyText"/>
            </w:pPr>
            <w:r w:rsidRPr="00840C12">
              <w:t xml:space="preserve">It includes identifying test requirements, determining test and evaluation methodology, developing and finalising test and evaluation plans, </w:t>
            </w:r>
            <w:r w:rsidRPr="00840C12">
              <w:t>determining post-trial report structure, drafting reports, and preparing and distributing a final report.</w:t>
            </w:r>
          </w:p>
          <w:p w:rsidR="00000000" w:rsidRPr="00840C12" w:rsidP="00840C12">
            <w:pPr>
              <w:pStyle w:val="BodyText"/>
            </w:pPr>
            <w:r w:rsidRPr="00840C12">
              <w:t>This unit applies to Defence explosive ordnance test and evaluation supervisors, managers and team leaders but is applicable to any individuals who wo</w:t>
            </w:r>
            <w:r w:rsidRPr="00840C12">
              <w:t>rk in this field.</w:t>
            </w:r>
          </w:p>
          <w:p w:rsidR="00000000" w:rsidRPr="00840C12" w:rsidP="00840C12">
            <w:pPr>
              <w:pStyle w:val="BodyText"/>
            </w:pPr>
            <w:r w:rsidRPr="00840C12">
              <w:t>This unit must be applied within the legislative, regulatory and policy environment in which the work is undertaken. Organisational policies and procedures must be consulted and adhered to.</w:t>
            </w:r>
          </w:p>
          <w:p w:rsidR="00000000" w:rsidRPr="00840C12" w:rsidP="00840C12">
            <w:pPr>
              <w:pStyle w:val="BodyText"/>
            </w:pPr>
            <w:r w:rsidRPr="00840C12">
              <w:t>Those undertaking this unit would work independe</w:t>
            </w:r>
            <w:r w:rsidRPr="00840C12">
              <w:t>ntly or as part of a team under direct and indirect supervision, use discretion and judgement and take responsibility for the quality of their output. They would perform complex tasks in a range of contexts.</w:t>
            </w:r>
          </w:p>
          <w:p w:rsidR="00000000" w:rsidRPr="00840C12" w:rsidP="00840C12">
            <w:pPr>
              <w:pStyle w:val="BodyText"/>
            </w:pPr>
            <w:r w:rsidRPr="00840C12">
              <w:t>No licensing, legislative or certification requi</w:t>
            </w:r>
            <w:r w:rsidRPr="00840C12">
              <w:t>rements apply to this unit at the time of publication.</w:t>
            </w:r>
          </w:p>
        </w:tc>
      </w:tr>
    </w:tbl>
    <w:p w:rsidR="007059B9" w:rsidP="00840C12">
      <w:pPr>
        <w:pStyle w:val="NoPaddingFontSize1"/>
      </w:pPr>
    </w:p>
    <w:p w:rsidR="007059B9" w:rsidP="00840C12">
      <w:pPr>
        <w:pStyle w:val="NoPaddingFontSize1"/>
      </w:pPr>
    </w:p>
    <w:p w:rsidR="00000000" w:rsidRPr="00840C12" w:rsidP="00840C12">
      <w:pPr>
        <w:pStyle w:val="Heading1"/>
      </w:pPr>
      <w:bookmarkStart w:id="3" w:name="O_1298388"/>
      <w:bookmarkEnd w:id="3"/>
      <w:r w:rsidRPr="00840C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Not applicable</w:t>
            </w:r>
          </w:p>
        </w:tc>
      </w:tr>
    </w:tbl>
    <w:p w:rsidR="007059B9" w:rsidP="00840C12">
      <w:pPr>
        <w:pStyle w:val="NoPaddingFontSize1"/>
      </w:pPr>
    </w:p>
    <w:p w:rsidR="007059B9" w:rsidP="00840C12">
      <w:pPr>
        <w:pStyle w:val="NoPaddingFontSize1"/>
      </w:pPr>
    </w:p>
    <w:p w:rsidR="00000000" w:rsidRPr="00840C12" w:rsidP="00840C12">
      <w:pPr>
        <w:pStyle w:val="Heading1"/>
      </w:pPr>
      <w:bookmarkStart w:id="4" w:name="O_1298387"/>
      <w:bookmarkEnd w:id="4"/>
      <w:r w:rsidRPr="00840C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Explosive Ordnance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5" w:name="O_1298386"/>
      <w:bookmarkEnd w:id="5"/>
      <w:r w:rsidRPr="00840C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Not applicable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6" w:name="O_1298385"/>
      <w:bookmarkEnd w:id="6"/>
      <w:r w:rsidRPr="00840C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758"/>
        <w:gridCol w:w="662"/>
        <w:gridCol w:w="5627"/>
      </w:tblGrid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PERFORMANCE CRITERIA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Performance criteria describe the performance needed to demonstrate achievement of the element.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 xml:space="preserve">1. 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Apply knowledge of explosive ord</w:t>
            </w:r>
            <w:r w:rsidRPr="00840C12">
              <w:rPr>
                <w:rStyle w:val="SpecialBold"/>
              </w:rPr>
              <w:t>nance testing and evaluation processes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Analyse and review different testing and evaluation types within the explosive ordnance environment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 xml:space="preserve">Explain the tests conducted on or with explosive ordnance 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Explain the relevant legislative or certification requirements that apply to the test and evaluation of explosive ordnance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Explain how to categorise explosive substances and/or articles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2.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Develop explosive ordnance test and evaluation plans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Id</w:t>
            </w:r>
            <w:r w:rsidRPr="00840C12">
              <w:t xml:space="preserve">entify explosive ordnance test and evaluation requirements and complete resources scoping activities 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Define aims, objectives, capability baseline and impacts in test plan and timeframes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Consult relevant specialists to determine test conditions, environmental constraints, evidence requirements, potential risks, and monitoring of key performance indicators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Clarify and agree skills, roles and responsibilities of team members and stake</w:t>
            </w:r>
            <w:r w:rsidRPr="00840C12">
              <w:t>holders, and identify reporting requirements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Determine preferred test and evaluation options that best fit organisational requirements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Develop explosive ordnance customer test and evaluation plan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Seek and obtain relevant approvals in accordance with legislative or certification requirements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3.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Prepare to implement explosive ordnance test and evaluation plan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 xml:space="preserve">Identify requirements for data management, analysis, tools, and storage 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 xml:space="preserve">Define </w:t>
            </w:r>
            <w:r w:rsidRPr="00840C12">
              <w:t xml:space="preserve">test safety requirements 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Promulgate and maintain test and evaluation plans and test plan approvals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4.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Conduct explosive ordnance test and evaluation processes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Conduct explosive ordnance test and evaluation in accordance with approved plan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Monitor explosive ordnance test and evaluation plan and amend as required based on changing circumstances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Record test outcomes and observations in accordance with original test scope and parameters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5.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rPr>
                <w:rStyle w:val="SpecialBold"/>
              </w:rPr>
              <w:t>Prepare and distribute explosive ordnance t</w:t>
            </w:r>
            <w:r w:rsidRPr="00840C12">
              <w:rPr>
                <w:rStyle w:val="SpecialBold"/>
              </w:rPr>
              <w:t>est and evaluation report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Collate, interpret, and summarise data and information to prepare content that satisfies report purposes and objectives in accordance with original test scope and parameters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Draft and receive feedback on draft report in accordance with organisational policies and procedures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t>Prepare and distribute final report in accordance with organisational policies and procedures</w:t>
            </w:r>
          </w:p>
        </w:tc>
      </w:tr>
      <w:tr w:rsidTr="00705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C12">
            <w:pPr>
              <w:pStyle w:val="BodyText"/>
              <w:rPr>
                <w:lang w:val="en-NZ"/>
              </w:rPr>
            </w:pPr>
            <w:r w:rsidRPr="00840C12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Maintain records in accordance with organisatio</w:t>
            </w:r>
            <w:r w:rsidRPr="00840C12">
              <w:t>nal policies and procedures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7" w:name="O_1298384"/>
      <w:bookmarkEnd w:id="7"/>
      <w:r w:rsidRPr="00840C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Foundation skills essential to performance are explicit in the performance criteria of this unit of competency.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8" w:name="O_1298383"/>
      <w:bookmarkEnd w:id="8"/>
      <w:r w:rsidRPr="00840C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Range is restricted to essential operating conditions and any other variables essential to the work environment.</w:t>
            </w:r>
          </w:p>
          <w:p w:rsidR="00000000" w:rsidRPr="00840C12" w:rsidP="00840C12">
            <w:pPr>
              <w:pStyle w:val="BodyText"/>
            </w:pPr>
            <w:r w:rsidRPr="00840C12">
              <w:t>Non-essential conditions may be found in the Companion Volume Implementation Guide.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9" w:name="O_1298382"/>
      <w:bookmarkEnd w:id="9"/>
      <w:r w:rsidRPr="00840C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No equivalent</w:t>
            </w:r>
            <w:r w:rsidRPr="00840C12">
              <w:t xml:space="preserve"> unit of competency.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10" w:name="O_1298375"/>
      <w:bookmarkEnd w:id="10"/>
      <w:r w:rsidRPr="00840C12">
        <w:t>Links</w:t>
      </w:r>
    </w:p>
    <w:p w:rsidR="00000000" w:rsidRPr="00840C12" w:rsidP="007059B9">
      <w:pPr>
        <w:pStyle w:val="BodyText"/>
      </w:pPr>
      <w:r w:rsidRPr="00840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C3F1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40C12" w:rsidP="007059B9">
      <w:pPr>
        <w:pStyle w:val="BodyText"/>
        <w:sectPr w:rsidSect="00840C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0C12" w:rsidP="00840C12">
      <w:pPr>
        <w:pStyle w:val="SuperHeading"/>
      </w:pPr>
      <w:r w:rsidRPr="00840C12">
        <w:t xml:space="preserve">Assessment </w:t>
      </w:r>
      <w:r w:rsidRPr="00840C12">
        <w:t>Requirements for DEFEXO604 Conduct explosive ordnance test and evaluation processes</w:t>
      </w:r>
    </w:p>
    <w:p w:rsidR="00000000" w:rsidRPr="00840C12" w:rsidP="00840C12">
      <w:pPr>
        <w:pStyle w:val="Heading1"/>
      </w:pPr>
      <w:bookmarkStart w:id="11" w:name="O_1298377"/>
      <w:bookmarkEnd w:id="11"/>
      <w:r w:rsidRPr="00840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Release 1. This is the first release of this unit of competency in the DEF Defence Training Package.</w:t>
            </w:r>
          </w:p>
        </w:tc>
      </w:tr>
    </w:tbl>
    <w:p w:rsidR="007059B9" w:rsidP="00840C12">
      <w:pPr>
        <w:pStyle w:val="NoPaddingFontSize1"/>
      </w:pPr>
    </w:p>
    <w:p w:rsidR="007059B9" w:rsidP="00840C12">
      <w:pPr>
        <w:pStyle w:val="NoPaddingFontSize1"/>
      </w:pPr>
    </w:p>
    <w:p w:rsidR="00000000" w:rsidRPr="00840C12" w:rsidP="00840C12">
      <w:pPr>
        <w:pStyle w:val="Heading1"/>
      </w:pPr>
      <w:bookmarkStart w:id="12" w:name="O_1298380"/>
      <w:bookmarkEnd w:id="12"/>
      <w:r w:rsidRPr="00840C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840C12" w:rsidP="00840C12">
            <w:pPr>
              <w:pStyle w:val="ListBullet"/>
            </w:pPr>
            <w:r w:rsidRPr="00840C12">
              <w:t>analysing and evaluating test evidence</w:t>
            </w:r>
          </w:p>
          <w:p w:rsidR="00000000" w:rsidRPr="00840C12" w:rsidP="00840C12">
            <w:pPr>
              <w:pStyle w:val="ListBullet"/>
            </w:pPr>
            <w:r w:rsidRPr="00840C12">
              <w:t>applying relevant legislation, organisational policy and procedures that may impact on explosive ordnance test and evaluation processes</w:t>
            </w:r>
          </w:p>
          <w:p w:rsidR="00000000" w:rsidRPr="00840C12" w:rsidP="00840C12">
            <w:pPr>
              <w:pStyle w:val="ListBullet"/>
            </w:pPr>
            <w:r w:rsidRPr="00840C12">
              <w:t>applying risk management techniques</w:t>
            </w:r>
          </w:p>
          <w:p w:rsidR="00000000" w:rsidRPr="00840C12" w:rsidP="00840C12">
            <w:pPr>
              <w:pStyle w:val="ListBullet"/>
            </w:pPr>
            <w:r w:rsidRPr="00840C12">
              <w:t>collecting and recording test data</w:t>
            </w:r>
          </w:p>
          <w:p w:rsidR="00000000" w:rsidRPr="00840C12" w:rsidP="00840C12">
            <w:pPr>
              <w:pStyle w:val="ListBullet"/>
            </w:pPr>
            <w:r w:rsidRPr="00840C12">
              <w:t>negotiating timelines, roles and responsibilities</w:t>
            </w:r>
            <w:r w:rsidRPr="00840C12">
              <w:t xml:space="preserve"> with stakeholders and team members</w:t>
            </w:r>
          </w:p>
          <w:p w:rsidR="00000000" w:rsidRPr="00840C12" w:rsidP="00840C12">
            <w:pPr>
              <w:pStyle w:val="ListBullet"/>
            </w:pPr>
            <w:r w:rsidRPr="00840C12">
              <w:t>producing an explosive ordnance test and evaluation report</w:t>
            </w:r>
          </w:p>
          <w:p w:rsidR="00000000" w:rsidRPr="00840C12" w:rsidP="00840C12">
            <w:pPr>
              <w:pStyle w:val="ListBullet"/>
            </w:pPr>
            <w:r w:rsidRPr="00840C12">
              <w:t>seeking and obtaining approval</w:t>
            </w:r>
          </w:p>
          <w:p w:rsidR="00000000" w:rsidRPr="00840C12" w:rsidP="00840C12">
            <w:pPr>
              <w:pStyle w:val="ListBullet"/>
            </w:pPr>
            <w:r w:rsidRPr="00840C12">
              <w:t>using planning techniques related to explosive ordnance test and evaluation, which may be complex in terms of scope; degree of ris</w:t>
            </w:r>
            <w:r w:rsidRPr="00840C12">
              <w:t>k; applicable environmental, political, cultural, and social factors; consequences of failure; and degree of control</w:t>
            </w:r>
          </w:p>
          <w:p w:rsidR="00000000" w:rsidRPr="00840C12" w:rsidP="00840C12">
            <w:pPr>
              <w:pStyle w:val="ListBullet"/>
            </w:pPr>
            <w:r w:rsidRPr="00840C12">
              <w:t>using organisational tools suited to the reporting of testing processes.</w:t>
            </w:r>
          </w:p>
        </w:tc>
      </w:tr>
    </w:tbl>
    <w:p w:rsidR="00000000" w:rsidRPr="00840C12" w:rsidP="00840C12">
      <w:pPr>
        <w:pStyle w:val="NoPaddingFontSize1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13" w:name="O_1298379"/>
      <w:bookmarkEnd w:id="13"/>
      <w:r w:rsidRPr="00840C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Evidence required to demon</w:t>
            </w:r>
            <w:r w:rsidRPr="00840C12">
              <w:t>strate competence in this unit must be relevant to and satisfy all the requirements of the elements and performance criteria and include knowledge of:</w:t>
            </w:r>
          </w:p>
          <w:p w:rsidR="00000000" w:rsidRPr="00840C12" w:rsidP="00840C12">
            <w:pPr>
              <w:pStyle w:val="ListBullet"/>
            </w:pPr>
            <w:r w:rsidRPr="00840C12">
              <w:t>approval processes</w:t>
            </w:r>
          </w:p>
          <w:p w:rsidR="00000000" w:rsidRPr="00840C12" w:rsidP="00840C12">
            <w:pPr>
              <w:pStyle w:val="ListBullet"/>
            </w:pPr>
            <w:r w:rsidRPr="00840C12">
              <w:t>legislation, organisational policy and procedures that determine explosive ordnance test and evaluation processes</w:t>
            </w:r>
          </w:p>
          <w:p w:rsidR="00000000" w:rsidRPr="00840C12" w:rsidP="00840C12">
            <w:pPr>
              <w:pStyle w:val="ListBullet"/>
            </w:pPr>
            <w:r w:rsidRPr="00840C12">
              <w:t xml:space="preserve">management tools suited to implementing explosive ordnance test and evaluation processes </w:t>
            </w:r>
          </w:p>
          <w:p w:rsidR="00000000" w:rsidRPr="00840C12" w:rsidP="00840C12">
            <w:pPr>
              <w:pStyle w:val="ListBullet"/>
            </w:pPr>
            <w:r w:rsidRPr="00840C12">
              <w:t>principles relating to the implementation, conduct a</w:t>
            </w:r>
            <w:r w:rsidRPr="00840C12">
              <w:t>nd reporting phases of explosive ordnance test and evaluation processes</w:t>
            </w:r>
          </w:p>
          <w:p w:rsidR="00000000" w:rsidRPr="00840C12" w:rsidP="00840C12">
            <w:pPr>
              <w:pStyle w:val="ListBullet"/>
            </w:pPr>
            <w:r w:rsidRPr="00840C12">
              <w:t>recordkeeping requirements</w:t>
            </w:r>
          </w:p>
          <w:p w:rsidR="00000000" w:rsidRPr="00840C12" w:rsidP="00840C12">
            <w:pPr>
              <w:pStyle w:val="ListBullet"/>
            </w:pPr>
            <w:r w:rsidRPr="00840C12">
              <w:t>relevant personal protective equipment (PPE)</w:t>
            </w:r>
          </w:p>
          <w:p w:rsidR="00000000" w:rsidRPr="00840C12" w:rsidP="00840C12">
            <w:pPr>
              <w:pStyle w:val="ListBullet"/>
            </w:pPr>
            <w:r w:rsidRPr="00840C12">
              <w:t>requirements for scheduling explosive ordnance test and evaluation activities</w:t>
            </w:r>
          </w:p>
          <w:p w:rsidR="00000000" w:rsidRPr="00840C12" w:rsidP="00840C12">
            <w:pPr>
              <w:pStyle w:val="ListBullet"/>
            </w:pPr>
            <w:r w:rsidRPr="00840C12">
              <w:t>resource plans</w:t>
            </w:r>
          </w:p>
          <w:p w:rsidR="00000000" w:rsidRPr="00840C12" w:rsidP="00840C12">
            <w:pPr>
              <w:pStyle w:val="ListBullet"/>
            </w:pPr>
            <w:r w:rsidRPr="00840C12">
              <w:t>team and stakeholde</w:t>
            </w:r>
            <w:r w:rsidRPr="00840C12">
              <w:t>r engagement</w:t>
            </w:r>
          </w:p>
          <w:p w:rsidR="00000000" w:rsidRPr="00840C12" w:rsidP="00840C12">
            <w:pPr>
              <w:pStyle w:val="ListBullet"/>
            </w:pPr>
            <w:r w:rsidRPr="00840C12">
              <w:t>test and evaluation implementation methods, which may be complex in terms of scope; degree of risk; applicable environmental, political, cultural, and social factors; consequences of failure; and degree of control</w:t>
            </w:r>
          </w:p>
          <w:p w:rsidR="00000000" w:rsidRPr="00840C12" w:rsidP="00840C12">
            <w:pPr>
              <w:pStyle w:val="ListBullet"/>
            </w:pPr>
            <w:r w:rsidRPr="00840C12">
              <w:t>test management arrangements</w:t>
            </w:r>
          </w:p>
          <w:p w:rsidR="00000000" w:rsidRPr="00840C12" w:rsidP="00840C12">
            <w:pPr>
              <w:pStyle w:val="ListBullet"/>
            </w:pPr>
            <w:r w:rsidRPr="00840C12">
              <w:t>test preparations and preconditions of test conduct.</w:t>
            </w:r>
          </w:p>
        </w:tc>
      </w:tr>
    </w:tbl>
    <w:p w:rsidR="00000000" w:rsidRPr="00840C12" w:rsidP="00840C12">
      <w:pPr>
        <w:pStyle w:val="BodyText"/>
      </w:pPr>
    </w:p>
    <w:p w:rsidR="00000000" w:rsidRPr="00840C12" w:rsidP="00840C12">
      <w:pPr>
        <w:pStyle w:val="AllowPageBreak"/>
      </w:pPr>
    </w:p>
    <w:p w:rsidR="00000000" w:rsidRPr="00840C12" w:rsidP="00840C12">
      <w:pPr>
        <w:pStyle w:val="Heading1"/>
      </w:pPr>
      <w:bookmarkStart w:id="14" w:name="O_1298378"/>
      <w:bookmarkEnd w:id="14"/>
      <w:r w:rsidRPr="00840C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0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C12" w:rsidP="00840C12">
            <w:pPr>
              <w:pStyle w:val="BodyText"/>
            </w:pPr>
            <w:r w:rsidRPr="00840C12">
              <w:t>Assessors must satisfy relevant vocational education and training legislation, frameworks and/or standards.</w:t>
            </w:r>
          </w:p>
          <w:p w:rsidR="00000000" w:rsidRPr="00840C12" w:rsidP="00840C12">
            <w:pPr>
              <w:pStyle w:val="BodyText"/>
            </w:pPr>
            <w:r w:rsidRPr="00840C12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840C12" w:rsidP="00840C12">
            <w:pPr>
              <w:pStyle w:val="BodyText"/>
            </w:pPr>
            <w:r w:rsidRPr="00840C12">
              <w:t>Assessment processes and techniques must be appropriate to th</w:t>
            </w:r>
            <w:r w:rsidRPr="00840C12">
              <w:t>e language, literacy and numeracy requirements of the work being performed and the needs of the candidate.</w:t>
            </w:r>
          </w:p>
          <w:p w:rsidR="00000000" w:rsidRPr="00840C12" w:rsidP="00840C12">
            <w:pPr>
              <w:pStyle w:val="BodyText"/>
            </w:pPr>
            <w:r w:rsidRPr="00840C12">
              <w:t>Resources for assessment must include access to:</w:t>
            </w:r>
          </w:p>
          <w:p w:rsidR="00000000" w:rsidRPr="00840C12" w:rsidP="00840C12">
            <w:pPr>
              <w:pStyle w:val="ListBullet"/>
            </w:pPr>
            <w:r w:rsidRPr="00840C12">
              <w:t>a range of relevant activities, case studies and/or simulations</w:t>
            </w:r>
          </w:p>
          <w:p w:rsidR="00000000" w:rsidRPr="00840C12" w:rsidP="00840C12">
            <w:pPr>
              <w:pStyle w:val="ListBullet"/>
            </w:pPr>
            <w:r w:rsidRPr="00840C12">
              <w:t>acceptable means of simulated workp</w:t>
            </w:r>
            <w:r w:rsidRPr="00840C12">
              <w:t>lace assessment</w:t>
            </w:r>
          </w:p>
          <w:p w:rsidR="00000000" w:rsidRPr="00840C12" w:rsidP="00840C12">
            <w:pPr>
              <w:pStyle w:val="ListBullet"/>
            </w:pPr>
            <w:r w:rsidRPr="00840C12">
              <w:t>applicable documentation, including legislation, regulations, codes of practice, workplace procedures and operation manuals</w:t>
            </w:r>
          </w:p>
          <w:p w:rsidR="00000000" w:rsidRPr="00840C12" w:rsidP="00840C12">
            <w:pPr>
              <w:pStyle w:val="ListBullet"/>
            </w:pPr>
            <w:r w:rsidRPr="00840C12">
              <w:t>relevant materials, tools, equipment, and PPE currently used in industry.</w:t>
            </w:r>
          </w:p>
        </w:tc>
      </w:tr>
    </w:tbl>
    <w:p w:rsidR="007059B9" w:rsidP="00840C12">
      <w:pPr>
        <w:pStyle w:val="NoPaddingFontSize1"/>
      </w:pPr>
    </w:p>
    <w:p w:rsidR="007059B9" w:rsidP="00840C12">
      <w:pPr>
        <w:pStyle w:val="NoPaddingFontSize1"/>
      </w:pPr>
    </w:p>
    <w:p w:rsidR="00000000" w:rsidRPr="00840C12" w:rsidP="00840C12">
      <w:pPr>
        <w:pStyle w:val="Heading1"/>
      </w:pPr>
      <w:bookmarkStart w:id="15" w:name="O_1298376"/>
      <w:bookmarkEnd w:id="15"/>
      <w:r w:rsidRPr="00840C12">
        <w:t>Links</w:t>
      </w:r>
    </w:p>
    <w:p w:rsidR="00000000" w:rsidRPr="00840C12" w:rsidP="007059B9">
      <w:pPr>
        <w:pStyle w:val="BodyText"/>
      </w:pPr>
      <w:r w:rsidRPr="00840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C3F1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40C12" w:rsidP="00840C12"/>
    <w:sectPr w:rsidSect="00840C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 w:rsidRPr="007059B9" w:rsidP="00705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B9" w:rsidP="00840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9B9" w:rsidP="00840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059B9" w:rsidP="00840C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 w:rsidP="00840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59B9">
      <w:t>Approved</w:t>
    </w:r>
    <w:r w:rsidR="007059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59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59B9">
      <w:rPr>
        <w:noProof/>
      </w:rPr>
      <w:t>4</w:t>
    </w:r>
    <w:r>
      <w:rPr>
        <w:noProof/>
      </w:rPr>
      <w:fldChar w:fldCharType="end"/>
    </w:r>
  </w:p>
  <w:p w:rsidR="00840C12" w:rsidP="00840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59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59B9">
      <w:t>Public Skills Australia</w:t>
    </w:r>
    <w:r w:rsidR="007059B9">
      <w:fldChar w:fldCharType="end"/>
    </w:r>
  </w:p>
  <w:p w:rsidR="00840C12" w:rsidP="00840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C12" w:rsidRPr="007059B9" w:rsidP="00705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B9" w:rsidRPr="002D2AF8" w:rsidP="00840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DEFEXO604 Conduct explosive ordnance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7059B9" w:rsidP="00840C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C12" w:rsidRPr="002D2AF8" w:rsidP="00840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59B9">
      <w:t>DEFEXO604 Conduct explosive ordnance test and evaluation processes</w:t>
    </w:r>
    <w:r w:rsidR="007059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59B9">
      <w:rPr>
        <w:noProof/>
      </w:rPr>
      <w:t>14 April 2025</w:t>
    </w:r>
    <w:r>
      <w:fldChar w:fldCharType="end"/>
    </w:r>
  </w:p>
  <w:p w:rsidR="00840C12" w:rsidP="00840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32B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46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C12"/>
  </w:style>
  <w:style w:type="character" w:customStyle="1" w:styleId="Heading1Char">
    <w:name w:val="Heading 1 Char"/>
    <w:basedOn w:val="DefaultParagraphFont"/>
    <w:link w:val="Heading1"/>
    <w:rsid w:val="00840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C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C12"/>
    <w:rPr>
      <w:b/>
      <w:spacing w:val="0"/>
    </w:rPr>
  </w:style>
  <w:style w:type="paragraph" w:customStyle="1" w:styleId="SuperHeading">
    <w:name w:val="SuperHeading"/>
    <w:basedOn w:val="Normal"/>
    <w:rsid w:val="00840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0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C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C12"/>
    <w:rPr>
      <w:i/>
    </w:rPr>
  </w:style>
  <w:style w:type="paragraph" w:styleId="Caption">
    <w:name w:val="caption"/>
    <w:basedOn w:val="BodyText"/>
    <w:next w:val="Normal"/>
    <w:qFormat/>
    <w:rsid w:val="00840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C12"/>
  </w:style>
  <w:style w:type="paragraph" w:styleId="TableofFigures">
    <w:name w:val="table of figures"/>
    <w:basedOn w:val="Normal"/>
    <w:next w:val="Normal"/>
    <w:semiHidden/>
    <w:rsid w:val="00840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C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C12"/>
    <w:rPr>
      <w:rFonts w:ascii="Wingdings" w:hAnsi="Wingdings"/>
    </w:rPr>
  </w:style>
  <w:style w:type="paragraph" w:customStyle="1" w:styleId="TableHeading">
    <w:name w:val="Table Heading"/>
    <w:basedOn w:val="HeadingBase"/>
    <w:rsid w:val="00840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C12"/>
    <w:rPr>
      <w:color w:val="0033CC"/>
      <w:u w:val="none"/>
    </w:rPr>
  </w:style>
  <w:style w:type="paragraph" w:customStyle="1" w:styleId="BodyTextRight">
    <w:name w:val="Body Text Right"/>
    <w:basedOn w:val="BodyText"/>
    <w:rsid w:val="00840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C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C12"/>
    <w:rPr>
      <w:sz w:val="32"/>
    </w:rPr>
  </w:style>
  <w:style w:type="paragraph" w:customStyle="1" w:styleId="HeadingProcedure">
    <w:name w:val="Heading Procedure"/>
    <w:basedOn w:val="HeadingBase"/>
    <w:next w:val="Normal"/>
    <w:rsid w:val="00840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C12"/>
    <w:pPr>
      <w:spacing w:before="60" w:after="60"/>
    </w:pPr>
  </w:style>
  <w:style w:type="paragraph" w:styleId="ListContinue">
    <w:name w:val="List Continue"/>
    <w:basedOn w:val="List"/>
    <w:rsid w:val="00840C12"/>
    <w:pPr>
      <w:ind w:firstLine="0"/>
    </w:pPr>
  </w:style>
  <w:style w:type="paragraph" w:customStyle="1" w:styleId="ListNote">
    <w:name w:val="List Note"/>
    <w:basedOn w:val="List"/>
    <w:rsid w:val="00840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C12"/>
    <w:rPr>
      <w:rFonts w:ascii="Courier New" w:hAnsi="Courier New"/>
    </w:rPr>
  </w:style>
  <w:style w:type="paragraph" w:customStyle="1" w:styleId="NoteBullet">
    <w:name w:val="Note Bullet"/>
    <w:basedOn w:val="Note"/>
    <w:rsid w:val="00840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C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C12"/>
    <w:rPr>
      <w:b/>
      <w:smallCaps/>
    </w:rPr>
  </w:style>
  <w:style w:type="paragraph" w:customStyle="1" w:styleId="TableListNumber">
    <w:name w:val="Table List Number"/>
    <w:basedOn w:val="ListNumber"/>
    <w:rsid w:val="00840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C12"/>
    <w:pPr>
      <w:numPr>
        <w:numId w:val="8"/>
      </w:numPr>
    </w:pPr>
  </w:style>
  <w:style w:type="paragraph" w:customStyle="1" w:styleId="ListAlpha2">
    <w:name w:val="List Alpha 2"/>
    <w:basedOn w:val="List2"/>
    <w:rsid w:val="00840C12"/>
    <w:pPr>
      <w:numPr>
        <w:numId w:val="7"/>
      </w:numPr>
    </w:pPr>
  </w:style>
  <w:style w:type="paragraph" w:styleId="List2">
    <w:name w:val="List 2"/>
    <w:basedOn w:val="BodyText"/>
    <w:rsid w:val="00840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C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C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C12"/>
    <w:pPr>
      <w:numPr>
        <w:numId w:val="3"/>
      </w:numPr>
    </w:pPr>
  </w:style>
  <w:style w:type="paragraph" w:styleId="ListContinue2">
    <w:name w:val="List Continue 2"/>
    <w:basedOn w:val="List2"/>
    <w:rsid w:val="00840C12"/>
    <w:pPr>
      <w:ind w:firstLine="0"/>
    </w:pPr>
  </w:style>
  <w:style w:type="paragraph" w:styleId="ListContinue3">
    <w:name w:val="List Continue 3"/>
    <w:basedOn w:val="List3"/>
    <w:rsid w:val="00840C12"/>
    <w:pPr>
      <w:ind w:left="1021" w:firstLine="0"/>
    </w:pPr>
  </w:style>
  <w:style w:type="paragraph" w:styleId="ListContinue4">
    <w:name w:val="List Continue 4"/>
    <w:basedOn w:val="List4"/>
    <w:rsid w:val="00840C12"/>
    <w:pPr>
      <w:ind w:firstLine="0"/>
    </w:pPr>
  </w:style>
  <w:style w:type="paragraph" w:styleId="ListContinue5">
    <w:name w:val="List Continue 5"/>
    <w:basedOn w:val="List5"/>
    <w:rsid w:val="00840C12"/>
    <w:pPr>
      <w:ind w:firstLine="0"/>
    </w:pPr>
  </w:style>
  <w:style w:type="paragraph" w:styleId="ListNumber3">
    <w:name w:val="List Number 3"/>
    <w:basedOn w:val="List3"/>
    <w:rsid w:val="00840C12"/>
    <w:pPr>
      <w:numPr>
        <w:numId w:val="4"/>
      </w:numPr>
    </w:pPr>
  </w:style>
  <w:style w:type="paragraph" w:styleId="ListNumber4">
    <w:name w:val="List Number 4"/>
    <w:basedOn w:val="List4"/>
    <w:rsid w:val="00840C12"/>
    <w:pPr>
      <w:numPr>
        <w:numId w:val="5"/>
      </w:numPr>
    </w:pPr>
  </w:style>
  <w:style w:type="paragraph" w:styleId="ListNumber5">
    <w:name w:val="List Number 5"/>
    <w:basedOn w:val="List5"/>
    <w:rsid w:val="00840C12"/>
    <w:pPr>
      <w:numPr>
        <w:numId w:val="6"/>
      </w:numPr>
    </w:pPr>
  </w:style>
  <w:style w:type="paragraph" w:styleId="BlockText">
    <w:name w:val="Block Text"/>
    <w:basedOn w:val="Normal"/>
    <w:rsid w:val="00840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C12"/>
    <w:rPr>
      <w:sz w:val="16"/>
      <w:vertAlign w:val="superscript"/>
    </w:rPr>
  </w:style>
  <w:style w:type="character" w:customStyle="1" w:styleId="Symbols">
    <w:name w:val="Symbols"/>
    <w:basedOn w:val="DefaultParagraphFont"/>
    <w:rsid w:val="00840C12"/>
    <w:rPr>
      <w:rFonts w:ascii="Symbol" w:hAnsi="Symbol"/>
    </w:rPr>
  </w:style>
  <w:style w:type="character" w:customStyle="1" w:styleId="MenuOptions">
    <w:name w:val="Menu Options"/>
    <w:basedOn w:val="DefaultParagraphFont"/>
    <w:rsid w:val="00840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C12"/>
    <w:rPr>
      <w:b/>
    </w:rPr>
  </w:style>
  <w:style w:type="character" w:customStyle="1" w:styleId="Underlined">
    <w:name w:val="Underlined"/>
    <w:basedOn w:val="DefaultParagraphFont"/>
    <w:rsid w:val="00840C12"/>
    <w:rPr>
      <w:u w:val="single"/>
    </w:rPr>
  </w:style>
  <w:style w:type="paragraph" w:customStyle="1" w:styleId="TableBodyTextRight">
    <w:name w:val="Table Body Text Right"/>
    <w:basedOn w:val="TableBodyText"/>
    <w:rsid w:val="00840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C12"/>
    <w:rPr>
      <w:sz w:val="18"/>
    </w:rPr>
  </w:style>
  <w:style w:type="paragraph" w:customStyle="1" w:styleId="BodySmallRight">
    <w:name w:val="Body Small Right"/>
    <w:basedOn w:val="BodyTextRight"/>
    <w:rsid w:val="00840C12"/>
    <w:rPr>
      <w:sz w:val="18"/>
      <w:szCs w:val="18"/>
    </w:rPr>
  </w:style>
  <w:style w:type="paragraph" w:customStyle="1" w:styleId="MarginEdition">
    <w:name w:val="Margin Edition"/>
    <w:basedOn w:val="MarginNote"/>
    <w:rsid w:val="00840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C12"/>
    <w:rPr>
      <w:sz w:val="2"/>
      <w:szCs w:val="2"/>
    </w:rPr>
  </w:style>
  <w:style w:type="character" w:customStyle="1" w:styleId="Small">
    <w:name w:val="Small"/>
    <w:basedOn w:val="DefaultParagraphFont"/>
    <w:rsid w:val="00840C12"/>
    <w:rPr>
      <w:sz w:val="16"/>
    </w:rPr>
  </w:style>
  <w:style w:type="paragraph" w:customStyle="1" w:styleId="WideTable">
    <w:name w:val="Wide Table"/>
    <w:basedOn w:val="Normal"/>
    <w:rsid w:val="00840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C12"/>
  </w:style>
  <w:style w:type="paragraph" w:styleId="Quote">
    <w:name w:val="Quote"/>
    <w:basedOn w:val="Heading1"/>
    <w:link w:val="QuoteChar"/>
    <w:qFormat/>
    <w:rsid w:val="00840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C12"/>
    <w:pPr>
      <w:pageBreakBefore/>
    </w:pPr>
  </w:style>
  <w:style w:type="paragraph" w:customStyle="1" w:styleId="Border">
    <w:name w:val="Border"/>
    <w:basedOn w:val="Normal"/>
    <w:qFormat/>
    <w:rsid w:val="00840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C12"/>
    <w:rPr>
      <w:u w:val="single"/>
    </w:rPr>
  </w:style>
  <w:style w:type="character" w:customStyle="1" w:styleId="BoldandItalics">
    <w:name w:val="Bold and Italics"/>
    <w:qFormat/>
    <w:rsid w:val="00840C12"/>
    <w:rPr>
      <w:b/>
      <w:i/>
      <w:u w:val="none"/>
    </w:rPr>
  </w:style>
  <w:style w:type="paragraph" w:styleId="BalloonText">
    <w:name w:val="Balloon Text"/>
    <w:basedOn w:val="Normal"/>
    <w:link w:val="BalloonTextChar"/>
    <w:rsid w:val="00840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C12"/>
    <w:pPr>
      <w:spacing w:before="0" w:after="0"/>
    </w:pPr>
  </w:style>
  <w:style w:type="paragraph" w:customStyle="1" w:styleId="BodyTextBold">
    <w:name w:val="Body Text Bold"/>
    <w:basedOn w:val="BodyText"/>
    <w:qFormat/>
    <w:rsid w:val="00840C12"/>
    <w:rPr>
      <w:b/>
    </w:rPr>
  </w:style>
  <w:style w:type="character" w:styleId="Hyperlink">
    <w:name w:val="Hyperlink"/>
    <w:basedOn w:val="DefaultParagraphFont"/>
    <w:uiPriority w:val="99"/>
    <w:unhideWhenUsed/>
    <w:rsid w:val="00705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7101</Characters>
  <Application>Microsoft Office Word</Application>
  <DocSecurity>0</DocSecurity>
  <Lines>273</Lines>
  <Paragraphs>146</Paragraphs>
  <ScaleCrop>false</ScaleCrop>
  <Company>Author-it Software Corporation Ltd.</Company>
  <LinksUpToDate>false</LinksUpToDate>
  <CharactersWithSpaces>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DEFEXO604 Conduct explosive ordnance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