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7E2" w:rsidP="005037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DEFEXO603 Conduct explosive ordnance trials</w:t>
      </w:r>
      <w:r>
        <w:fldChar w:fldCharType="end"/>
      </w:r>
    </w:p>
    <w:p w:rsidR="005037E2" w:rsidP="005037E2">
      <w:pPr>
        <w:pStyle w:val="Version"/>
        <w:sectPr w:rsidSect="001100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1008E" w:rsidP="0011008E">
      <w:pPr>
        <w:pStyle w:val="SuperHeading"/>
      </w:pPr>
      <w:r w:rsidRPr="0011008E">
        <w:t>Assessment Requirements for DEFEXO603 Conduct explosive ordnance trials</w:t>
      </w:r>
    </w:p>
    <w:p w:rsidR="00000000" w:rsidRPr="0011008E" w:rsidP="0011008E">
      <w:pPr>
        <w:pStyle w:val="Heading1"/>
      </w:pPr>
      <w:bookmarkStart w:id="1" w:name="O_1098875"/>
      <w:bookmarkEnd w:id="1"/>
      <w:r w:rsidRPr="001100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8E">
            <w:pPr>
              <w:pStyle w:val="BodyText"/>
              <w:rPr>
                <w:lang w:val="en-NZ"/>
              </w:rPr>
            </w:pPr>
            <w:r w:rsidRPr="0011008E">
              <w:t>Release 2. Modifications made to Assessment Conditions.</w:t>
            </w:r>
          </w:p>
        </w:tc>
      </w:tr>
      <w:tr w:rsidTr="00110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8E" w:rsidP="0011008E">
            <w:pPr>
              <w:pStyle w:val="BodyText"/>
            </w:pPr>
            <w:r w:rsidRPr="0011008E">
              <w:t>Release 1. This is the first release of this unit of competency in the DEF Defence Training Package.</w:t>
            </w:r>
          </w:p>
        </w:tc>
      </w:tr>
    </w:tbl>
    <w:p w:rsidR="005037E2" w:rsidP="0011008E">
      <w:pPr>
        <w:pStyle w:val="NoPaddingFontSize1"/>
      </w:pPr>
    </w:p>
    <w:p w:rsidR="005037E2" w:rsidP="0011008E">
      <w:pPr>
        <w:pStyle w:val="NoPaddingFontSize1"/>
      </w:pPr>
    </w:p>
    <w:p w:rsidR="00000000" w:rsidRPr="0011008E" w:rsidP="0011008E">
      <w:pPr>
        <w:pStyle w:val="Heading1"/>
      </w:pPr>
      <w:bookmarkStart w:id="2" w:name="O_1098874"/>
      <w:bookmarkEnd w:id="2"/>
      <w:r w:rsidRPr="0011008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8E" w:rsidP="0011008E">
            <w:pPr>
              <w:pStyle w:val="BodyText"/>
            </w:pPr>
            <w:r w:rsidRPr="0011008E">
              <w:t>Evidence required to demonstrate competence in this unit must be relevant to and satisfy all of the requirements</w:t>
            </w:r>
            <w:r w:rsidRPr="0011008E">
              <w:t xml:space="preserve"> of the elements and performance criteria on at least one occasion and include:</w:t>
            </w:r>
          </w:p>
          <w:p w:rsidR="00000000" w:rsidRPr="0011008E" w:rsidP="0011008E">
            <w:pPr>
              <w:pStyle w:val="ListBullet"/>
            </w:pPr>
            <w:r w:rsidRPr="0011008E">
              <w:t>applying organisational safety policies and structures, including work health and safety (WHS)/occupational health and safety (OHS) requirements</w:t>
            </w:r>
          </w:p>
          <w:p w:rsidR="00000000" w:rsidRPr="0011008E" w:rsidP="0011008E">
            <w:pPr>
              <w:pStyle w:val="ListBullet"/>
            </w:pPr>
            <w:r w:rsidRPr="0011008E">
              <w:t>applying relevant organisation</w:t>
            </w:r>
            <w:r w:rsidRPr="0011008E">
              <w:t>al policies and procedures</w:t>
            </w:r>
          </w:p>
          <w:p w:rsidR="00000000" w:rsidRPr="0011008E" w:rsidP="0011008E">
            <w:pPr>
              <w:pStyle w:val="ListBullet"/>
            </w:pPr>
            <w:r w:rsidRPr="0011008E">
              <w:t>applying safety, legislative and statutory requirements relevant to the risk assessment</w:t>
            </w:r>
          </w:p>
          <w:p w:rsidR="00000000" w:rsidRPr="0011008E" w:rsidP="0011008E">
            <w:pPr>
              <w:pStyle w:val="ListBullet"/>
            </w:pPr>
            <w:r w:rsidRPr="0011008E">
              <w:t>communicating clearly and effectively</w:t>
            </w:r>
          </w:p>
          <w:p w:rsidR="00000000" w:rsidRPr="0011008E" w:rsidP="0011008E">
            <w:pPr>
              <w:pStyle w:val="ListBullet"/>
            </w:pPr>
            <w:r w:rsidRPr="0011008E">
              <w:t>coordinating relevant activities</w:t>
            </w:r>
          </w:p>
          <w:p w:rsidR="00000000" w:rsidRPr="0011008E" w:rsidP="0011008E">
            <w:pPr>
              <w:pStyle w:val="ListBullet"/>
            </w:pPr>
            <w:r w:rsidRPr="0011008E">
              <w:t>documenting and reporting trial results</w:t>
            </w:r>
          </w:p>
          <w:p w:rsidR="00000000" w:rsidRPr="0011008E" w:rsidP="0011008E">
            <w:pPr>
              <w:pStyle w:val="ListBullet"/>
            </w:pPr>
            <w:r w:rsidRPr="0011008E">
              <w:t>evaluating information</w:t>
            </w:r>
          </w:p>
          <w:p w:rsidR="00000000" w:rsidRPr="0011008E" w:rsidP="0011008E">
            <w:pPr>
              <w:pStyle w:val="ListBullet"/>
            </w:pPr>
            <w:r w:rsidRPr="0011008E">
              <w:t>identifying and allocating resources</w:t>
            </w:r>
          </w:p>
          <w:p w:rsidR="00000000" w:rsidRPr="0011008E" w:rsidP="0011008E">
            <w:pPr>
              <w:pStyle w:val="ListBullet"/>
            </w:pPr>
            <w:r w:rsidRPr="0011008E">
              <w:t>identifying hazards, assessing risks and implementing control measures</w:t>
            </w:r>
          </w:p>
          <w:p w:rsidR="00000000" w:rsidRPr="0011008E" w:rsidP="0011008E">
            <w:pPr>
              <w:pStyle w:val="ListBullet"/>
            </w:pPr>
            <w:r w:rsidRPr="0011008E">
              <w:t>identifying issues, interpreting and analysing risk assessment requirements relevant to explosive ordnance trial work being performed</w:t>
            </w:r>
          </w:p>
          <w:p w:rsidR="00000000" w:rsidRPr="0011008E" w:rsidP="0011008E">
            <w:pPr>
              <w:pStyle w:val="ListBullet"/>
            </w:pPr>
            <w:r w:rsidRPr="0011008E">
              <w:t>implementing t</w:t>
            </w:r>
            <w:r w:rsidRPr="0011008E">
              <w:t>rial methodologies and procedures</w:t>
            </w:r>
          </w:p>
          <w:p w:rsidR="00000000" w:rsidRPr="0011008E" w:rsidP="0011008E">
            <w:pPr>
              <w:pStyle w:val="ListBullet"/>
            </w:pPr>
            <w:r w:rsidRPr="0011008E">
              <w:t>recording trial data</w:t>
            </w:r>
          </w:p>
        </w:tc>
      </w:tr>
    </w:tbl>
    <w:p w:rsidR="00000000" w:rsidRPr="0011008E" w:rsidP="0011008E">
      <w:pPr>
        <w:pStyle w:val="NoPaddingFontSize1"/>
      </w:pPr>
    </w:p>
    <w:p w:rsidR="00000000" w:rsidRPr="0011008E" w:rsidP="0011008E">
      <w:pPr>
        <w:pStyle w:val="AllowPageBreak"/>
      </w:pPr>
    </w:p>
    <w:p w:rsidR="00000000" w:rsidRPr="0011008E" w:rsidP="0011008E">
      <w:pPr>
        <w:pStyle w:val="Heading1"/>
      </w:pPr>
      <w:bookmarkStart w:id="3" w:name="O_1098873"/>
      <w:bookmarkEnd w:id="3"/>
      <w:r w:rsidRPr="0011008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8E" w:rsidP="0011008E">
            <w:pPr>
              <w:pStyle w:val="BodyText"/>
            </w:pPr>
            <w:r w:rsidRPr="0011008E">
              <w:t>Evidence required to demonstrate competence in this unit must be relevant to and satisfy all of the requirements of the elements and performance criteria and inc</w:t>
            </w:r>
            <w:r w:rsidRPr="0011008E">
              <w:t>lude knowledge of:</w:t>
            </w:r>
          </w:p>
          <w:p w:rsidR="00000000" w:rsidRPr="0011008E" w:rsidP="0011008E">
            <w:pPr>
              <w:pStyle w:val="ListBullet"/>
            </w:pPr>
            <w:r w:rsidRPr="0011008E">
              <w:t>evaluation processes</w:t>
            </w:r>
          </w:p>
          <w:p w:rsidR="00000000" w:rsidRPr="0011008E" w:rsidP="0011008E">
            <w:pPr>
              <w:pStyle w:val="ListBullet"/>
            </w:pPr>
            <w:r w:rsidRPr="0011008E">
              <w:t>explosive ordnance trials including:</w:t>
            </w:r>
          </w:p>
          <w:p w:rsidR="00000000" w:rsidRPr="0011008E" w:rsidP="0011008E">
            <w:pPr>
              <w:pStyle w:val="ListBullet2"/>
            </w:pPr>
            <w:r w:rsidRPr="0011008E">
              <w:t>environmental testing</w:t>
            </w:r>
          </w:p>
          <w:p w:rsidR="00000000" w:rsidRPr="0011008E" w:rsidP="0011008E">
            <w:pPr>
              <w:pStyle w:val="ListBullet2"/>
            </w:pPr>
            <w:r w:rsidRPr="0011008E">
              <w:t>organisational trials</w:t>
            </w:r>
          </w:p>
          <w:p w:rsidR="00000000" w:rsidRPr="0011008E" w:rsidP="0011008E">
            <w:pPr>
              <w:pStyle w:val="ListBullet2"/>
            </w:pPr>
            <w:r w:rsidRPr="0011008E">
              <w:t>proof testing</w:t>
            </w:r>
          </w:p>
          <w:p w:rsidR="00000000" w:rsidRPr="0011008E" w:rsidP="0011008E">
            <w:pPr>
              <w:pStyle w:val="ListBullet2"/>
            </w:pPr>
            <w:r w:rsidRPr="0011008E">
              <w:t>research group or divisional trials</w:t>
            </w:r>
          </w:p>
          <w:p w:rsidR="00000000" w:rsidRPr="0011008E" w:rsidP="0011008E">
            <w:pPr>
              <w:pStyle w:val="ListBullet2"/>
            </w:pPr>
            <w:r w:rsidRPr="0011008E">
              <w:t>specific field testing which is not a normal component of laboratory testing</w:t>
            </w:r>
          </w:p>
          <w:p w:rsidR="00000000" w:rsidRPr="0011008E" w:rsidP="0011008E">
            <w:pPr>
              <w:pStyle w:val="ListBullet"/>
            </w:pPr>
            <w:r w:rsidRPr="0011008E">
              <w:t>information support systems</w:t>
            </w:r>
          </w:p>
          <w:p w:rsidR="00000000" w:rsidRPr="0011008E" w:rsidP="0011008E">
            <w:pPr>
              <w:pStyle w:val="ListBullet"/>
            </w:pPr>
            <w:r w:rsidRPr="0011008E">
              <w:t>organisational safety policies and structures</w:t>
            </w:r>
          </w:p>
          <w:p w:rsidR="00000000" w:rsidRPr="0011008E" w:rsidP="0011008E">
            <w:pPr>
              <w:pStyle w:val="ListBullet"/>
            </w:pPr>
            <w:r w:rsidRPr="0011008E">
              <w:t>organisational WHS/OHS requirements</w:t>
            </w:r>
          </w:p>
          <w:p w:rsidR="00000000" w:rsidRPr="0011008E" w:rsidP="0011008E">
            <w:pPr>
              <w:pStyle w:val="ListBullet"/>
            </w:pPr>
            <w:r w:rsidRPr="0011008E">
              <w:t>relevant organisational methodologies, policies and procedures</w:t>
            </w:r>
          </w:p>
          <w:p w:rsidR="00000000" w:rsidRPr="0011008E" w:rsidP="0011008E">
            <w:pPr>
              <w:pStyle w:val="ListBullet"/>
            </w:pPr>
            <w:r w:rsidRPr="0011008E">
              <w:t>resource requirements and allocation guidelines</w:t>
            </w:r>
          </w:p>
          <w:p w:rsidR="00000000" w:rsidRPr="0011008E" w:rsidP="0011008E">
            <w:pPr>
              <w:pStyle w:val="ListBullet"/>
            </w:pPr>
            <w:r w:rsidRPr="0011008E">
              <w:t>risk assessment</w:t>
            </w:r>
          </w:p>
          <w:p w:rsidR="00000000" w:rsidRPr="0011008E" w:rsidP="0011008E">
            <w:pPr>
              <w:pStyle w:val="ListBullet"/>
            </w:pPr>
            <w:r w:rsidRPr="0011008E">
              <w:t>trialling methodolo</w:t>
            </w:r>
            <w:r w:rsidRPr="0011008E">
              <w:t>gies</w:t>
            </w:r>
          </w:p>
        </w:tc>
      </w:tr>
    </w:tbl>
    <w:p w:rsidR="00000000" w:rsidRPr="0011008E" w:rsidP="0011008E">
      <w:pPr>
        <w:pStyle w:val="NoPaddingFontSize1"/>
      </w:pPr>
    </w:p>
    <w:p w:rsidR="00000000" w:rsidRPr="0011008E" w:rsidP="0011008E">
      <w:pPr>
        <w:pStyle w:val="AllowPageBreak"/>
      </w:pPr>
    </w:p>
    <w:p w:rsidR="00000000" w:rsidRPr="0011008E" w:rsidP="0011008E">
      <w:pPr>
        <w:pStyle w:val="Heading1"/>
      </w:pPr>
      <w:bookmarkStart w:id="4" w:name="O_1098872"/>
      <w:bookmarkEnd w:id="4"/>
      <w:r w:rsidRPr="0011008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8E" w:rsidP="0011008E">
            <w:pPr>
              <w:pStyle w:val="BodyText"/>
            </w:pPr>
            <w:r w:rsidRPr="0011008E">
              <w:t>Assessors must hold credentials specified within the Standards for Registered Training Organisations current at the time of assessment.</w:t>
            </w:r>
          </w:p>
          <w:p w:rsidR="00000000" w:rsidRPr="0011008E" w:rsidP="0011008E">
            <w:pPr>
              <w:pStyle w:val="BodyText"/>
            </w:pPr>
            <w:r w:rsidRPr="0011008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1008E" w:rsidP="0011008E">
            <w:pPr>
              <w:pStyle w:val="BodyText"/>
            </w:pPr>
            <w:r w:rsidRPr="0011008E">
              <w:t>Assessment must occur in workplace operational</w:t>
            </w:r>
            <w:r w:rsidRPr="0011008E">
              <w:t xml:space="preserve"> situations. Where this is not appropriate, assessment must occur in simulated workplace operational situations that reflect workplace conditions.</w:t>
            </w:r>
          </w:p>
          <w:p w:rsidR="00000000" w:rsidRPr="0011008E" w:rsidP="0011008E">
            <w:pPr>
              <w:pStyle w:val="BodyText"/>
            </w:pPr>
            <w:r w:rsidRPr="0011008E">
              <w:t>Assessment processes and techniques must be appropriate to the language, literacy and numeracy requirements o</w:t>
            </w:r>
            <w:r w:rsidRPr="0011008E">
              <w:t>f the work being performed and the needs of the candidate.</w:t>
            </w:r>
          </w:p>
          <w:p w:rsidR="00000000" w:rsidRPr="0011008E" w:rsidP="0011008E">
            <w:pPr>
              <w:pStyle w:val="BodyText"/>
            </w:pPr>
            <w:r w:rsidRPr="0011008E">
              <w:t>Resources for assessment must include access to:</w:t>
            </w:r>
          </w:p>
          <w:p w:rsidR="00000000" w:rsidRPr="0011008E" w:rsidP="0011008E">
            <w:pPr>
              <w:pStyle w:val="ListBullet"/>
            </w:pPr>
            <w:r w:rsidRPr="0011008E">
              <w:tab/>
              <w:t xml:space="preserve">a range of relevant exercises, case studies and/or simulations </w:t>
            </w:r>
          </w:p>
          <w:p w:rsidR="00000000" w:rsidRPr="0011008E" w:rsidP="0011008E">
            <w:pPr>
              <w:pStyle w:val="ListBullet"/>
            </w:pPr>
            <w:r w:rsidRPr="0011008E">
              <w:tab/>
              <w:t xml:space="preserve">acceptable means of simulation assessment </w:t>
            </w:r>
          </w:p>
          <w:p w:rsidR="00000000" w:rsidRPr="0011008E" w:rsidP="0011008E">
            <w:pPr>
              <w:pStyle w:val="ListBullet"/>
            </w:pPr>
            <w:r w:rsidRPr="0011008E">
              <w:tab/>
              <w:t>applicable documentation, including w</w:t>
            </w:r>
            <w:r w:rsidRPr="0011008E">
              <w:t xml:space="preserve">orkplace procedures, regulations, codes of practice and operation manuals </w:t>
            </w:r>
          </w:p>
          <w:p w:rsidR="00000000" w:rsidRPr="0011008E" w:rsidP="0011008E">
            <w:pPr>
              <w:pStyle w:val="ListBullet"/>
            </w:pPr>
            <w:r w:rsidRPr="0011008E">
              <w:tab/>
              <w:t>relevant materials, tools, equipment and PPE currently used in industry.</w:t>
            </w:r>
          </w:p>
        </w:tc>
      </w:tr>
    </w:tbl>
    <w:p w:rsidR="005037E2" w:rsidP="0011008E">
      <w:pPr>
        <w:pStyle w:val="NoPaddingFontSize1"/>
      </w:pPr>
    </w:p>
    <w:p w:rsidR="005037E2" w:rsidP="0011008E">
      <w:pPr>
        <w:pStyle w:val="NoPaddingFontSize1"/>
      </w:pPr>
    </w:p>
    <w:p w:rsidR="00000000" w:rsidRPr="0011008E" w:rsidP="0011008E">
      <w:pPr>
        <w:pStyle w:val="Heading1"/>
      </w:pPr>
      <w:bookmarkStart w:id="5" w:name="O_1098887"/>
      <w:bookmarkEnd w:id="5"/>
      <w:r w:rsidRPr="0011008E">
        <w:t>Links</w:t>
      </w:r>
    </w:p>
    <w:p w:rsidR="00000000" w:rsidRPr="0011008E" w:rsidP="005037E2">
      <w:pPr>
        <w:pStyle w:val="BodyText"/>
      </w:pPr>
      <w:r w:rsidRPr="001100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8219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1008E" w:rsidP="0011008E"/>
    <w:sectPr w:rsidSect="001100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0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08E" w:rsidRPr="005037E2" w:rsidP="005037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0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7E2" w:rsidP="001100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37E2" w:rsidP="001100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037E2" w:rsidP="001100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0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7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08E" w:rsidRPr="005037E2" w:rsidP="005037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0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7E2" w:rsidRPr="002D2AF8" w:rsidP="001100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DEFEXO603 Conduct explosive ordnance trials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037E2" w:rsidP="001100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1C33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541E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D0AD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0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0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0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0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0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0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0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0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0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0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0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08E"/>
  </w:style>
  <w:style w:type="character" w:customStyle="1" w:styleId="Heading1Char">
    <w:name w:val="Heading 1 Char"/>
    <w:basedOn w:val="DefaultParagraphFont"/>
    <w:link w:val="Heading1"/>
    <w:rsid w:val="001100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0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0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00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00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00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00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100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0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0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0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0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0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0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0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0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0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0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0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0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0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0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0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0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0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00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00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008E"/>
    <w:rPr>
      <w:b/>
      <w:spacing w:val="0"/>
    </w:rPr>
  </w:style>
  <w:style w:type="paragraph" w:customStyle="1" w:styleId="SuperTitle">
    <w:name w:val="SuperTitle"/>
    <w:basedOn w:val="Title"/>
    <w:rsid w:val="001100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0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0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00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0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0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0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0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0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0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0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0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008E"/>
    <w:rPr>
      <w:i/>
    </w:rPr>
  </w:style>
  <w:style w:type="paragraph" w:styleId="Caption">
    <w:name w:val="caption"/>
    <w:basedOn w:val="BodyText"/>
    <w:next w:val="Normal"/>
    <w:qFormat/>
    <w:rsid w:val="001100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0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0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08E"/>
  </w:style>
  <w:style w:type="paragraph" w:styleId="TableofFigures">
    <w:name w:val="table of figures"/>
    <w:basedOn w:val="Normal"/>
    <w:next w:val="Normal"/>
    <w:semiHidden/>
    <w:rsid w:val="001100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0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008E"/>
    <w:rPr>
      <w:rFonts w:ascii="Wingdings" w:hAnsi="Wingdings"/>
    </w:rPr>
  </w:style>
  <w:style w:type="paragraph" w:customStyle="1" w:styleId="TableHeading">
    <w:name w:val="Table Heading"/>
    <w:basedOn w:val="HeadingBase"/>
    <w:rsid w:val="001100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08E"/>
    <w:rPr>
      <w:color w:val="0033CC"/>
      <w:u w:val="none"/>
    </w:rPr>
  </w:style>
  <w:style w:type="paragraph" w:customStyle="1" w:styleId="BodyTextRight">
    <w:name w:val="Body Text Right"/>
    <w:basedOn w:val="BodyText"/>
    <w:rsid w:val="001100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0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0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0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0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0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08E"/>
    <w:rPr>
      <w:sz w:val="32"/>
    </w:rPr>
  </w:style>
  <w:style w:type="paragraph" w:customStyle="1" w:styleId="HeadingProcedure">
    <w:name w:val="Heading Procedure"/>
    <w:basedOn w:val="HeadingBase"/>
    <w:next w:val="Normal"/>
    <w:rsid w:val="001100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08E"/>
    <w:pPr>
      <w:spacing w:before="60" w:after="60"/>
    </w:pPr>
  </w:style>
  <w:style w:type="paragraph" w:styleId="ListContinue">
    <w:name w:val="List Continue"/>
    <w:basedOn w:val="List"/>
    <w:rsid w:val="0011008E"/>
    <w:pPr>
      <w:ind w:firstLine="0"/>
    </w:pPr>
  </w:style>
  <w:style w:type="paragraph" w:customStyle="1" w:styleId="ListNote">
    <w:name w:val="List Note"/>
    <w:basedOn w:val="List"/>
    <w:rsid w:val="001100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0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0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08E"/>
    <w:rPr>
      <w:rFonts w:ascii="Courier New" w:hAnsi="Courier New"/>
    </w:rPr>
  </w:style>
  <w:style w:type="paragraph" w:customStyle="1" w:styleId="NoteBullet">
    <w:name w:val="Note Bullet"/>
    <w:basedOn w:val="Note"/>
    <w:rsid w:val="001100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0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0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0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0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00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0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08E"/>
    <w:rPr>
      <w:b/>
      <w:smallCaps/>
    </w:rPr>
  </w:style>
  <w:style w:type="paragraph" w:customStyle="1" w:styleId="TableListNumber">
    <w:name w:val="Table List Number"/>
    <w:basedOn w:val="ListNumber"/>
    <w:rsid w:val="001100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0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08E"/>
    <w:pPr>
      <w:numPr>
        <w:numId w:val="9"/>
      </w:numPr>
    </w:pPr>
  </w:style>
  <w:style w:type="paragraph" w:customStyle="1" w:styleId="ListAlpha2">
    <w:name w:val="List Alpha 2"/>
    <w:basedOn w:val="List2"/>
    <w:rsid w:val="0011008E"/>
    <w:pPr>
      <w:numPr>
        <w:numId w:val="8"/>
      </w:numPr>
    </w:pPr>
  </w:style>
  <w:style w:type="paragraph" w:styleId="List2">
    <w:name w:val="List 2"/>
    <w:basedOn w:val="BodyText"/>
    <w:rsid w:val="001100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0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0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0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0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0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008E"/>
    <w:pPr>
      <w:numPr>
        <w:numId w:val="4"/>
      </w:numPr>
    </w:pPr>
  </w:style>
  <w:style w:type="paragraph" w:styleId="ListContinue2">
    <w:name w:val="List Continue 2"/>
    <w:basedOn w:val="List2"/>
    <w:rsid w:val="0011008E"/>
    <w:pPr>
      <w:ind w:firstLine="0"/>
    </w:pPr>
  </w:style>
  <w:style w:type="paragraph" w:styleId="ListContinue3">
    <w:name w:val="List Continue 3"/>
    <w:basedOn w:val="List3"/>
    <w:rsid w:val="0011008E"/>
    <w:pPr>
      <w:ind w:left="1021" w:firstLine="0"/>
    </w:pPr>
  </w:style>
  <w:style w:type="paragraph" w:styleId="ListContinue4">
    <w:name w:val="List Continue 4"/>
    <w:basedOn w:val="List4"/>
    <w:rsid w:val="0011008E"/>
    <w:pPr>
      <w:ind w:firstLine="0"/>
    </w:pPr>
  </w:style>
  <w:style w:type="paragraph" w:styleId="ListContinue5">
    <w:name w:val="List Continue 5"/>
    <w:basedOn w:val="List5"/>
    <w:rsid w:val="0011008E"/>
    <w:pPr>
      <w:ind w:firstLine="0"/>
    </w:pPr>
  </w:style>
  <w:style w:type="paragraph" w:styleId="ListNumber3">
    <w:name w:val="List Number 3"/>
    <w:basedOn w:val="List3"/>
    <w:rsid w:val="0011008E"/>
    <w:pPr>
      <w:numPr>
        <w:numId w:val="5"/>
      </w:numPr>
    </w:pPr>
  </w:style>
  <w:style w:type="paragraph" w:styleId="ListNumber4">
    <w:name w:val="List Number 4"/>
    <w:basedOn w:val="List4"/>
    <w:rsid w:val="0011008E"/>
    <w:pPr>
      <w:numPr>
        <w:numId w:val="6"/>
      </w:numPr>
    </w:pPr>
  </w:style>
  <w:style w:type="paragraph" w:styleId="ListNumber5">
    <w:name w:val="List Number 5"/>
    <w:basedOn w:val="List5"/>
    <w:rsid w:val="0011008E"/>
    <w:pPr>
      <w:numPr>
        <w:numId w:val="7"/>
      </w:numPr>
    </w:pPr>
  </w:style>
  <w:style w:type="paragraph" w:styleId="BlockText">
    <w:name w:val="Block Text"/>
    <w:basedOn w:val="Normal"/>
    <w:rsid w:val="001100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0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08E"/>
    <w:rPr>
      <w:sz w:val="16"/>
      <w:vertAlign w:val="superscript"/>
    </w:rPr>
  </w:style>
  <w:style w:type="character" w:customStyle="1" w:styleId="Symbols">
    <w:name w:val="Symbols"/>
    <w:basedOn w:val="DefaultParagraphFont"/>
    <w:rsid w:val="0011008E"/>
    <w:rPr>
      <w:rFonts w:ascii="Symbol" w:hAnsi="Symbol"/>
    </w:rPr>
  </w:style>
  <w:style w:type="character" w:customStyle="1" w:styleId="MenuOptions">
    <w:name w:val="Menu Options"/>
    <w:basedOn w:val="DefaultParagraphFont"/>
    <w:rsid w:val="001100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08E"/>
    <w:rPr>
      <w:b/>
    </w:rPr>
  </w:style>
  <w:style w:type="character" w:customStyle="1" w:styleId="Underlined">
    <w:name w:val="Underlined"/>
    <w:basedOn w:val="DefaultParagraphFont"/>
    <w:rsid w:val="0011008E"/>
    <w:rPr>
      <w:u w:val="single"/>
    </w:rPr>
  </w:style>
  <w:style w:type="paragraph" w:customStyle="1" w:styleId="TableBodyTextRight">
    <w:name w:val="Table Body Text Right"/>
    <w:basedOn w:val="TableBodyText"/>
    <w:rsid w:val="001100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08E"/>
    <w:rPr>
      <w:sz w:val="18"/>
    </w:rPr>
  </w:style>
  <w:style w:type="paragraph" w:customStyle="1" w:styleId="BodySmallRight">
    <w:name w:val="Body Small Right"/>
    <w:basedOn w:val="BodyTextRight"/>
    <w:rsid w:val="0011008E"/>
    <w:rPr>
      <w:sz w:val="18"/>
      <w:szCs w:val="18"/>
    </w:rPr>
  </w:style>
  <w:style w:type="paragraph" w:customStyle="1" w:styleId="MarginEdition">
    <w:name w:val="Margin Edition"/>
    <w:basedOn w:val="MarginNote"/>
    <w:rsid w:val="001100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08E"/>
    <w:rPr>
      <w:sz w:val="2"/>
      <w:szCs w:val="2"/>
    </w:rPr>
  </w:style>
  <w:style w:type="character" w:customStyle="1" w:styleId="Small">
    <w:name w:val="Small"/>
    <w:basedOn w:val="DefaultParagraphFont"/>
    <w:rsid w:val="0011008E"/>
    <w:rPr>
      <w:sz w:val="16"/>
    </w:rPr>
  </w:style>
  <w:style w:type="paragraph" w:customStyle="1" w:styleId="WideTable">
    <w:name w:val="Wide Table"/>
    <w:basedOn w:val="Normal"/>
    <w:rsid w:val="001100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08E"/>
  </w:style>
  <w:style w:type="paragraph" w:styleId="Quote">
    <w:name w:val="Quote"/>
    <w:basedOn w:val="Heading1"/>
    <w:link w:val="QuoteChar"/>
    <w:qFormat/>
    <w:rsid w:val="001100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0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08E"/>
    <w:pPr>
      <w:pageBreakBefore/>
    </w:pPr>
  </w:style>
  <w:style w:type="paragraph" w:customStyle="1" w:styleId="Border">
    <w:name w:val="Border"/>
    <w:basedOn w:val="Normal"/>
    <w:qFormat/>
    <w:rsid w:val="001100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0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0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0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0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0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0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0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0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08E"/>
    <w:rPr>
      <w:u w:val="single"/>
    </w:rPr>
  </w:style>
  <w:style w:type="character" w:customStyle="1" w:styleId="BoldandItalics">
    <w:name w:val="Bold and Italics"/>
    <w:qFormat/>
    <w:rsid w:val="0011008E"/>
    <w:rPr>
      <w:b/>
      <w:i/>
      <w:u w:val="none"/>
    </w:rPr>
  </w:style>
  <w:style w:type="paragraph" w:styleId="BalloonText">
    <w:name w:val="Balloon Text"/>
    <w:basedOn w:val="Normal"/>
    <w:link w:val="BalloonTextChar"/>
    <w:rsid w:val="001100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0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0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0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0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0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08E"/>
    <w:pPr>
      <w:spacing w:before="0" w:after="0"/>
    </w:pPr>
  </w:style>
  <w:style w:type="paragraph" w:customStyle="1" w:styleId="BodyTextBold">
    <w:name w:val="Body Text Bold"/>
    <w:basedOn w:val="BodyText"/>
    <w:qFormat/>
    <w:rsid w:val="0011008E"/>
    <w:rPr>
      <w:b/>
    </w:rPr>
  </w:style>
  <w:style w:type="character" w:styleId="Hyperlink">
    <w:name w:val="Hyperlink"/>
    <w:basedOn w:val="DefaultParagraphFont"/>
    <w:uiPriority w:val="99"/>
    <w:unhideWhenUsed/>
    <w:rsid w:val="005037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419</Words>
  <Characters>2961</Characters>
  <Application>Microsoft Office Word</Application>
  <DocSecurity>0</DocSecurity>
  <Lines>75</Lines>
  <Paragraphs>57</Paragraphs>
  <ScaleCrop>false</ScaleCrop>
  <Company>Author-it Software Corporation Ltd.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DEFEXO603 Conduct explosive ordnance trials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2024-11-07T12:39:00Z</dcterms:created>
  <dcterms:modified xsi:type="dcterms:W3CDTF">2024-11-07T12:39:00Z</dcterms:modified>
</cp:coreProperties>
</file>