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E2C" w:rsidP="00611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DEFEXO510 Maintain small arms ammunition</w:t>
      </w:r>
      <w:r>
        <w:fldChar w:fldCharType="end"/>
      </w:r>
    </w:p>
    <w:p w:rsidR="00611E2C" w:rsidP="00611E2C">
      <w:pPr>
        <w:pStyle w:val="Version"/>
        <w:sectPr w:rsidSect="00FF4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4DB9" w:rsidP="00FF4DB9">
      <w:pPr>
        <w:pStyle w:val="SuperHeading"/>
      </w:pPr>
      <w:r w:rsidRPr="00FF4DB9">
        <w:t>Assessment Requirements for DEFEXO510 Maintain small arms ammunition</w:t>
      </w:r>
    </w:p>
    <w:p w:rsidR="00000000" w:rsidRPr="00FF4DB9" w:rsidP="00FF4DB9">
      <w:pPr>
        <w:pStyle w:val="Heading1"/>
      </w:pPr>
      <w:bookmarkStart w:id="1" w:name="O_1098857"/>
      <w:bookmarkEnd w:id="1"/>
      <w:r w:rsidRPr="00FF4D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D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B9">
            <w:pPr>
              <w:pStyle w:val="BodyText"/>
              <w:rPr>
                <w:lang w:val="en-NZ"/>
              </w:rPr>
            </w:pPr>
            <w:r w:rsidRPr="00FF4DB9">
              <w:t>Release 2. Modifications made to Assessment Conditions.</w:t>
            </w:r>
          </w:p>
        </w:tc>
      </w:tr>
      <w:tr w:rsidTr="00FF4D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B9" w:rsidP="00FF4DB9">
            <w:pPr>
              <w:pStyle w:val="BodyText"/>
            </w:pPr>
            <w:r w:rsidRPr="00FF4DB9">
              <w:t>Release 1. This is the first release of this unit of competency in the DEF Defence Training Package.</w:t>
            </w:r>
          </w:p>
        </w:tc>
      </w:tr>
    </w:tbl>
    <w:p w:rsidR="00611E2C" w:rsidP="00FF4DB9">
      <w:pPr>
        <w:pStyle w:val="NoPaddingFontSize1"/>
      </w:pPr>
    </w:p>
    <w:p w:rsidR="00611E2C" w:rsidP="00FF4DB9">
      <w:pPr>
        <w:pStyle w:val="NoPaddingFontSize1"/>
      </w:pPr>
    </w:p>
    <w:p w:rsidR="00000000" w:rsidRPr="00FF4DB9" w:rsidP="00FF4DB9">
      <w:pPr>
        <w:pStyle w:val="Heading1"/>
      </w:pPr>
      <w:bookmarkStart w:id="2" w:name="O_1098856"/>
      <w:bookmarkEnd w:id="2"/>
      <w:r w:rsidRPr="00FF4D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D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B9" w:rsidP="00FF4DB9">
            <w:pPr>
              <w:pStyle w:val="BodyText"/>
            </w:pPr>
            <w:r w:rsidRPr="00FF4DB9">
              <w:t>Evidence required to demonstrate competence in this unit must be relevant to and satisfy all of the requirements</w:t>
            </w:r>
            <w:r w:rsidRPr="00FF4DB9">
              <w:t xml:space="preserve"> of the elements and performance criteria on at least one occasion and include:</w:t>
            </w:r>
          </w:p>
          <w:p w:rsidR="00000000" w:rsidRPr="00FF4DB9" w:rsidP="00FF4DB9">
            <w:pPr>
              <w:pStyle w:val="ListBullet"/>
            </w:pPr>
            <w:r w:rsidRPr="00FF4DB9">
              <w:t>applying relevant operational policies and procedures</w:t>
            </w:r>
          </w:p>
          <w:p w:rsidR="00000000" w:rsidRPr="00FF4DB9" w:rsidP="00FF4DB9">
            <w:pPr>
              <w:pStyle w:val="ListBullet"/>
            </w:pPr>
            <w:r w:rsidRPr="00FF4DB9">
              <w:t>applying relevant work health and safety requirements</w:t>
            </w:r>
          </w:p>
          <w:p w:rsidR="00000000" w:rsidRPr="00FF4DB9" w:rsidP="00FF4DB9">
            <w:pPr>
              <w:pStyle w:val="ListBullet"/>
            </w:pPr>
            <w:r w:rsidRPr="00FF4DB9">
              <w:t>applying safety, legislative and statutory requirements relevant to</w:t>
            </w:r>
            <w:r w:rsidRPr="00FF4DB9">
              <w:t xml:space="preserve"> the risk assessment</w:t>
            </w:r>
          </w:p>
          <w:p w:rsidR="00000000" w:rsidRPr="00FF4DB9" w:rsidP="00FF4DB9">
            <w:pPr>
              <w:pStyle w:val="ListBullet"/>
            </w:pPr>
            <w:r w:rsidRPr="00FF4DB9">
              <w:t>assessing and applying compatibility to identify and calculate net explosive quantities</w:t>
            </w:r>
          </w:p>
          <w:p w:rsidR="00000000" w:rsidRPr="00FF4DB9" w:rsidP="00FF4DB9">
            <w:pPr>
              <w:pStyle w:val="ListBullet"/>
            </w:pPr>
            <w:r w:rsidRPr="00FF4DB9">
              <w:t>calculating net explosive quantity</w:t>
            </w:r>
          </w:p>
          <w:p w:rsidR="00000000" w:rsidRPr="00FF4DB9" w:rsidP="00FF4DB9">
            <w:pPr>
              <w:pStyle w:val="ListBullet"/>
            </w:pPr>
            <w:r w:rsidRPr="00FF4DB9">
              <w:t>completing maintenance activity</w:t>
            </w:r>
          </w:p>
          <w:p w:rsidR="00000000" w:rsidRPr="00FF4DB9" w:rsidP="00FF4DB9">
            <w:pPr>
              <w:pStyle w:val="ListBullet"/>
            </w:pPr>
            <w:r w:rsidRPr="00FF4DB9">
              <w:t>conducting relevant small arms ammunition tests</w:t>
            </w:r>
          </w:p>
          <w:p w:rsidR="00000000" w:rsidRPr="00FF4DB9" w:rsidP="00FF4DB9">
            <w:pPr>
              <w:pStyle w:val="ListBullet"/>
            </w:pPr>
            <w:r w:rsidRPr="00FF4DB9">
              <w:t>identifying, selecting and using appropriate tools and equipment</w:t>
            </w:r>
          </w:p>
          <w:p w:rsidR="00000000" w:rsidRPr="00FF4DB9" w:rsidP="00FF4DB9">
            <w:pPr>
              <w:pStyle w:val="ListBullet"/>
            </w:pPr>
            <w:r w:rsidRPr="00FF4DB9">
              <w:t>maintaining documentation</w:t>
            </w:r>
          </w:p>
          <w:p w:rsidR="00000000" w:rsidRPr="00FF4DB9" w:rsidP="00FF4DB9">
            <w:pPr>
              <w:pStyle w:val="ListBullet"/>
            </w:pPr>
            <w:r w:rsidRPr="00FF4DB9">
              <w:t>preparing for and maintaining small arms ammunition.</w:t>
            </w:r>
          </w:p>
        </w:tc>
      </w:tr>
    </w:tbl>
    <w:p w:rsidR="00611E2C" w:rsidP="00FF4DB9">
      <w:pPr>
        <w:pStyle w:val="NoPaddingFontSize1"/>
      </w:pPr>
    </w:p>
    <w:p w:rsidR="00611E2C" w:rsidP="00FF4DB9">
      <w:pPr>
        <w:pStyle w:val="NoPaddingFontSize1"/>
      </w:pPr>
    </w:p>
    <w:p w:rsidR="00000000" w:rsidRPr="00FF4DB9" w:rsidP="00FF4DB9">
      <w:pPr>
        <w:pStyle w:val="Heading1"/>
      </w:pPr>
      <w:bookmarkStart w:id="3" w:name="O_1098855"/>
      <w:bookmarkEnd w:id="3"/>
      <w:r w:rsidRPr="00FF4D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D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B9" w:rsidP="00FF4DB9">
            <w:pPr>
              <w:pStyle w:val="BodyText"/>
            </w:pPr>
            <w:r w:rsidRPr="00FF4DB9">
              <w:t>Evidence required to demonstrate competence in this unit must be releva</w:t>
            </w:r>
            <w:r w:rsidRPr="00FF4DB9">
              <w:t>nt to and satisfy all of the requirements of the elements and performance criteria and include knowledge of:</w:t>
            </w:r>
          </w:p>
          <w:p w:rsidR="00000000" w:rsidRPr="00FF4DB9" w:rsidP="00FF4DB9">
            <w:pPr>
              <w:pStyle w:val="ListBullet"/>
            </w:pPr>
            <w:r w:rsidRPr="00FF4DB9">
              <w:t>assessment of compatibility</w:t>
            </w:r>
          </w:p>
          <w:p w:rsidR="00000000" w:rsidRPr="00FF4DB9" w:rsidP="00FF4DB9">
            <w:pPr>
              <w:pStyle w:val="ListBullet"/>
            </w:pPr>
            <w:r w:rsidRPr="00FF4DB9">
              <w:t>effects of environmental conditions</w:t>
            </w:r>
          </w:p>
          <w:p w:rsidR="00000000" w:rsidRPr="00FF4DB9" w:rsidP="00FF4DB9">
            <w:pPr>
              <w:pStyle w:val="ListBullet"/>
            </w:pPr>
            <w:r w:rsidRPr="00FF4DB9">
              <w:t>net explosive quantity calculations</w:t>
            </w:r>
          </w:p>
          <w:p w:rsidR="00000000" w:rsidRPr="00FF4DB9" w:rsidP="00FF4DB9">
            <w:pPr>
              <w:pStyle w:val="ListBullet"/>
            </w:pPr>
            <w:r w:rsidRPr="00FF4DB9">
              <w:t>operational maintenance procedures</w:t>
            </w:r>
          </w:p>
          <w:p w:rsidR="00000000" w:rsidRPr="00FF4DB9" w:rsidP="00FF4DB9">
            <w:pPr>
              <w:pStyle w:val="ListBullet"/>
            </w:pPr>
            <w:r w:rsidRPr="00FF4DB9">
              <w:t>operations, characteristics and limitations of small arms ammunition to be maintained</w:t>
            </w:r>
          </w:p>
          <w:p w:rsidR="00000000" w:rsidRPr="00FF4DB9" w:rsidP="00FF4DB9">
            <w:pPr>
              <w:pStyle w:val="ListBullet"/>
            </w:pPr>
            <w:r w:rsidRPr="00FF4DB9">
              <w:t>operations, characteristics and limitations of tools and equipment used in maintenance</w:t>
            </w:r>
          </w:p>
          <w:p w:rsidR="00000000" w:rsidRPr="00FF4DB9" w:rsidP="00FF4DB9">
            <w:pPr>
              <w:pStyle w:val="ListBullet"/>
            </w:pPr>
            <w:r w:rsidRPr="00FF4DB9">
              <w:t>relevant documentation requirements</w:t>
            </w:r>
          </w:p>
          <w:p w:rsidR="00000000" w:rsidRPr="00FF4DB9" w:rsidP="00FF4DB9">
            <w:pPr>
              <w:pStyle w:val="ListBullet"/>
            </w:pPr>
            <w:r w:rsidRPr="00FF4DB9">
              <w:t>relevant operational policies and procedures, i</w:t>
            </w:r>
            <w:r w:rsidRPr="00FF4DB9">
              <w:t>ncluding work health and safety</w:t>
            </w:r>
          </w:p>
          <w:p w:rsidR="00000000" w:rsidRPr="00FF4DB9" w:rsidP="00FF4DB9">
            <w:pPr>
              <w:pStyle w:val="ListBullet"/>
            </w:pPr>
            <w:r w:rsidRPr="00FF4DB9">
              <w:t>small arms ammunition maintenance including:</w:t>
            </w:r>
          </w:p>
          <w:p w:rsidR="00000000" w:rsidRPr="00FF4DB9" w:rsidP="00FF4DB9">
            <w:pPr>
              <w:pStyle w:val="ListBullet2"/>
            </w:pPr>
            <w:r w:rsidRPr="00FF4DB9">
              <w:t>cleaning</w:t>
            </w:r>
          </w:p>
          <w:p w:rsidR="00000000" w:rsidRPr="00FF4DB9" w:rsidP="00FF4DB9">
            <w:pPr>
              <w:pStyle w:val="ListBullet2"/>
            </w:pPr>
            <w:r w:rsidRPr="00FF4DB9">
              <w:t>components change out</w:t>
            </w:r>
          </w:p>
          <w:p w:rsidR="00000000" w:rsidRPr="00FF4DB9" w:rsidP="00FF4DB9">
            <w:pPr>
              <w:pStyle w:val="ListBullet2"/>
            </w:pPr>
            <w:r w:rsidRPr="00FF4DB9">
              <w:t>fuzing and defuzing</w:t>
            </w:r>
          </w:p>
          <w:p w:rsidR="00000000" w:rsidRPr="00FF4DB9" w:rsidP="00FF4DB9">
            <w:pPr>
              <w:pStyle w:val="ListBullet2"/>
            </w:pPr>
            <w:r w:rsidRPr="00FF4DB9">
              <w:t>painting</w:t>
            </w:r>
          </w:p>
          <w:p w:rsidR="00000000" w:rsidRPr="00FF4DB9" w:rsidP="00FF4DB9">
            <w:pPr>
              <w:pStyle w:val="ListBullet"/>
            </w:pPr>
            <w:r w:rsidRPr="00FF4DB9">
              <w:t>small arms ammunition testing procedures</w:t>
            </w:r>
          </w:p>
          <w:p w:rsidR="00000000" w:rsidRPr="00FF4DB9" w:rsidP="00FF4DB9">
            <w:pPr>
              <w:pStyle w:val="ListBullet"/>
            </w:pPr>
            <w:r w:rsidRPr="00FF4DB9">
              <w:t>storage, distribution or maintenance of explosive ordnance</w:t>
            </w:r>
          </w:p>
          <w:p w:rsidR="00000000" w:rsidRPr="00FF4DB9" w:rsidP="00FF4DB9">
            <w:pPr>
              <w:pStyle w:val="ListBullet"/>
            </w:pPr>
            <w:r w:rsidRPr="00FF4DB9">
              <w:t>technical referen</w:t>
            </w:r>
            <w:r w:rsidRPr="00FF4DB9">
              <w:t>ces including:</w:t>
            </w:r>
          </w:p>
          <w:p w:rsidR="00000000" w:rsidRPr="00FF4DB9" w:rsidP="00FF4DB9">
            <w:pPr>
              <w:pStyle w:val="ListBullet2"/>
            </w:pPr>
            <w:r w:rsidRPr="00FF4DB9">
              <w:t>relevant orders and instructions.</w:t>
            </w:r>
          </w:p>
          <w:p w:rsidR="00000000" w:rsidRPr="00FF4DB9" w:rsidP="00FF4DB9">
            <w:pPr>
              <w:pStyle w:val="ListBullet2"/>
            </w:pPr>
            <w:r w:rsidRPr="00FF4DB9">
              <w:t>relevant publications</w:t>
            </w:r>
          </w:p>
          <w:p w:rsidR="00000000" w:rsidRPr="00FF4DB9" w:rsidP="00FF4DB9">
            <w:pPr>
              <w:pStyle w:val="ListBullet2"/>
            </w:pPr>
            <w:r w:rsidRPr="00FF4DB9">
              <w:t>technical drawings</w:t>
            </w:r>
          </w:p>
          <w:p w:rsidR="00000000" w:rsidRPr="00FF4DB9" w:rsidP="00FF4DB9">
            <w:pPr>
              <w:pStyle w:val="ListBullet2"/>
            </w:pPr>
            <w:r w:rsidRPr="00FF4DB9">
              <w:t>technical reference pamphlets</w:t>
            </w:r>
          </w:p>
        </w:tc>
      </w:tr>
    </w:tbl>
    <w:p w:rsidR="00611E2C" w:rsidP="00FF4DB9">
      <w:pPr>
        <w:pStyle w:val="NoPaddingFontSize1"/>
      </w:pPr>
    </w:p>
    <w:p w:rsidR="00611E2C" w:rsidP="00FF4DB9">
      <w:pPr>
        <w:pStyle w:val="NoPaddingFontSize1"/>
      </w:pPr>
    </w:p>
    <w:p w:rsidR="00000000" w:rsidRPr="00FF4DB9" w:rsidP="00FF4DB9">
      <w:pPr>
        <w:pStyle w:val="Heading1"/>
      </w:pPr>
      <w:bookmarkStart w:id="4" w:name="O_1098854"/>
      <w:bookmarkEnd w:id="4"/>
      <w:r w:rsidRPr="00FF4D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D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B9" w:rsidP="00FF4DB9">
            <w:pPr>
              <w:pStyle w:val="BodyText"/>
            </w:pPr>
            <w:r w:rsidRPr="00FF4DB9">
              <w:t>Assessors must hold credentials specified within the Standards for Registered Training Organisations current at the time of assessment.</w:t>
            </w:r>
          </w:p>
          <w:p w:rsidR="00000000" w:rsidRPr="00FF4DB9" w:rsidP="00FF4DB9">
            <w:pPr>
              <w:pStyle w:val="BodyText"/>
            </w:pPr>
            <w:r w:rsidRPr="00FF4DB9">
              <w:t>Assessment must satisfy the Principles of Assessment and Rules of Evidence and all regulatory requirements included with</w:t>
            </w:r>
            <w:r w:rsidRPr="00FF4DB9">
              <w:t>in the Standards for Registered Training Organisations current at the time of assessment.</w:t>
            </w:r>
          </w:p>
          <w:p w:rsidR="00000000" w:rsidRPr="00FF4DB9" w:rsidP="00FF4DB9">
            <w:pPr>
              <w:pStyle w:val="BodyText"/>
            </w:pPr>
            <w:r w:rsidRPr="00FF4DB9">
              <w:t>Assessment must occur in workplace operational situations. Where this is not appropriate, assessment must occur in simulated workplace operational situations that ref</w:t>
            </w:r>
            <w:r w:rsidRPr="00FF4DB9">
              <w:t>lect workplace conditions.</w:t>
            </w:r>
          </w:p>
          <w:p w:rsidR="00000000" w:rsidRPr="00FF4DB9" w:rsidP="00FF4DB9">
            <w:pPr>
              <w:pStyle w:val="BodyText"/>
            </w:pPr>
            <w:r w:rsidRPr="00FF4D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F4DB9" w:rsidP="00FF4DB9">
            <w:pPr>
              <w:pStyle w:val="BodyText"/>
            </w:pPr>
            <w:r w:rsidRPr="00FF4DB9">
              <w:t>Resources for assessment must include access to:</w:t>
            </w:r>
          </w:p>
          <w:p w:rsidR="00000000" w:rsidRPr="00FF4DB9" w:rsidP="00FF4DB9">
            <w:pPr>
              <w:pStyle w:val="ListBullet"/>
            </w:pPr>
            <w:r w:rsidRPr="00FF4DB9">
              <w:tab/>
              <w:t>a range of</w:t>
            </w:r>
            <w:r w:rsidRPr="00FF4DB9">
              <w:t xml:space="preserve"> relevant exercises, case studies and/or simulations </w:t>
            </w:r>
          </w:p>
          <w:p w:rsidR="00000000" w:rsidRPr="00FF4DB9" w:rsidP="00FF4DB9">
            <w:pPr>
              <w:pStyle w:val="ListBullet"/>
            </w:pPr>
            <w:r w:rsidRPr="00FF4DB9">
              <w:tab/>
              <w:t xml:space="preserve">acceptable means of simulation assessment </w:t>
            </w:r>
          </w:p>
          <w:p w:rsidR="00000000" w:rsidRPr="00FF4DB9" w:rsidP="00FF4DB9">
            <w:pPr>
              <w:pStyle w:val="ListBullet"/>
            </w:pPr>
            <w:r w:rsidRPr="00FF4DB9">
              <w:tab/>
              <w:t xml:space="preserve">applicable documentation, including workplace procedures, regulations, codes of practice and operation manuals </w:t>
            </w:r>
          </w:p>
          <w:p w:rsidR="00000000" w:rsidRPr="00FF4DB9" w:rsidP="00FF4DB9">
            <w:pPr>
              <w:pStyle w:val="ListBullet"/>
            </w:pPr>
            <w:r w:rsidRPr="00FF4DB9">
              <w:tab/>
            </w:r>
            <w:r w:rsidRPr="00FF4DB9">
              <w:t>relevant materials, tools, equipment and PPE currently used in industry.</w:t>
            </w:r>
          </w:p>
        </w:tc>
      </w:tr>
    </w:tbl>
    <w:p w:rsidR="00611E2C" w:rsidP="00FF4DB9">
      <w:pPr>
        <w:pStyle w:val="NoPaddingFontSize1"/>
      </w:pPr>
    </w:p>
    <w:p w:rsidR="00611E2C" w:rsidP="00FF4DB9">
      <w:pPr>
        <w:pStyle w:val="NoPaddingFontSize1"/>
      </w:pPr>
    </w:p>
    <w:p w:rsidR="00000000" w:rsidRPr="00FF4DB9" w:rsidP="00FF4DB9">
      <w:pPr>
        <w:pStyle w:val="Heading1"/>
      </w:pPr>
      <w:bookmarkStart w:id="5" w:name="O_1098869"/>
      <w:bookmarkEnd w:id="5"/>
      <w:r w:rsidRPr="00FF4DB9">
        <w:t>Links</w:t>
      </w:r>
    </w:p>
    <w:p w:rsidR="00000000" w:rsidRPr="00FF4DB9" w:rsidP="00611E2C">
      <w:pPr>
        <w:pStyle w:val="BodyText"/>
      </w:pPr>
      <w:r w:rsidRPr="00FF4D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F06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F4DB9" w:rsidP="00FF4DB9"/>
    <w:sectPr w:rsidSect="00FF4D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B9" w:rsidRPr="00611E2C" w:rsidP="00611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2C" w:rsidP="00FF4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E2C" w:rsidP="00FF4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11E2C" w:rsidP="00FF4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DB9" w:rsidRPr="00611E2C" w:rsidP="00611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2C" w:rsidRPr="002D2AF8" w:rsidP="00FF4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DEFEXO510 Maintain small arms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11E2C" w:rsidP="00FF4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87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46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CC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DB9"/>
  </w:style>
  <w:style w:type="character" w:customStyle="1" w:styleId="Heading1Char">
    <w:name w:val="Heading 1 Char"/>
    <w:basedOn w:val="DefaultParagraphFont"/>
    <w:link w:val="Heading1"/>
    <w:rsid w:val="00FF4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D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D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4D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4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DB9"/>
    <w:rPr>
      <w:b/>
      <w:spacing w:val="0"/>
    </w:rPr>
  </w:style>
  <w:style w:type="paragraph" w:customStyle="1" w:styleId="SuperTitle">
    <w:name w:val="SuperTitle"/>
    <w:basedOn w:val="Title"/>
    <w:rsid w:val="00FF4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D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DB9"/>
    <w:rPr>
      <w:i/>
    </w:rPr>
  </w:style>
  <w:style w:type="paragraph" w:styleId="Caption">
    <w:name w:val="caption"/>
    <w:basedOn w:val="BodyText"/>
    <w:next w:val="Normal"/>
    <w:qFormat/>
    <w:rsid w:val="00FF4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DB9"/>
  </w:style>
  <w:style w:type="paragraph" w:styleId="TableofFigures">
    <w:name w:val="table of figures"/>
    <w:basedOn w:val="Normal"/>
    <w:next w:val="Normal"/>
    <w:semiHidden/>
    <w:rsid w:val="00FF4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D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DB9"/>
    <w:rPr>
      <w:rFonts w:ascii="Wingdings" w:hAnsi="Wingdings"/>
    </w:rPr>
  </w:style>
  <w:style w:type="paragraph" w:customStyle="1" w:styleId="TableHeading">
    <w:name w:val="Table Heading"/>
    <w:basedOn w:val="HeadingBase"/>
    <w:rsid w:val="00FF4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DB9"/>
    <w:rPr>
      <w:color w:val="0033CC"/>
      <w:u w:val="none"/>
    </w:rPr>
  </w:style>
  <w:style w:type="paragraph" w:customStyle="1" w:styleId="BodyTextRight">
    <w:name w:val="Body Text Right"/>
    <w:basedOn w:val="BodyText"/>
    <w:rsid w:val="00FF4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D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DB9"/>
    <w:rPr>
      <w:sz w:val="32"/>
    </w:rPr>
  </w:style>
  <w:style w:type="paragraph" w:customStyle="1" w:styleId="HeadingProcedure">
    <w:name w:val="Heading Procedure"/>
    <w:basedOn w:val="HeadingBase"/>
    <w:next w:val="Normal"/>
    <w:rsid w:val="00FF4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DB9"/>
    <w:pPr>
      <w:spacing w:before="60" w:after="60"/>
    </w:pPr>
  </w:style>
  <w:style w:type="paragraph" w:styleId="ListContinue">
    <w:name w:val="List Continue"/>
    <w:basedOn w:val="List"/>
    <w:rsid w:val="00FF4DB9"/>
    <w:pPr>
      <w:ind w:firstLine="0"/>
    </w:pPr>
  </w:style>
  <w:style w:type="paragraph" w:customStyle="1" w:styleId="ListNote">
    <w:name w:val="List Note"/>
    <w:basedOn w:val="List"/>
    <w:rsid w:val="00FF4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DB9"/>
    <w:rPr>
      <w:rFonts w:ascii="Courier New" w:hAnsi="Courier New"/>
    </w:rPr>
  </w:style>
  <w:style w:type="paragraph" w:customStyle="1" w:styleId="NoteBullet">
    <w:name w:val="Note Bullet"/>
    <w:basedOn w:val="Note"/>
    <w:rsid w:val="00FF4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D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DB9"/>
    <w:rPr>
      <w:b/>
      <w:smallCaps/>
    </w:rPr>
  </w:style>
  <w:style w:type="paragraph" w:customStyle="1" w:styleId="TableListNumber">
    <w:name w:val="Table List Number"/>
    <w:basedOn w:val="ListNumber"/>
    <w:rsid w:val="00FF4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DB9"/>
    <w:pPr>
      <w:numPr>
        <w:numId w:val="9"/>
      </w:numPr>
    </w:pPr>
  </w:style>
  <w:style w:type="paragraph" w:customStyle="1" w:styleId="ListAlpha2">
    <w:name w:val="List Alpha 2"/>
    <w:basedOn w:val="List2"/>
    <w:rsid w:val="00FF4DB9"/>
    <w:pPr>
      <w:numPr>
        <w:numId w:val="8"/>
      </w:numPr>
    </w:pPr>
  </w:style>
  <w:style w:type="paragraph" w:styleId="List2">
    <w:name w:val="List 2"/>
    <w:basedOn w:val="BodyText"/>
    <w:rsid w:val="00FF4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D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D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DB9"/>
    <w:pPr>
      <w:numPr>
        <w:numId w:val="4"/>
      </w:numPr>
    </w:pPr>
  </w:style>
  <w:style w:type="paragraph" w:styleId="ListContinue2">
    <w:name w:val="List Continue 2"/>
    <w:basedOn w:val="List2"/>
    <w:rsid w:val="00FF4DB9"/>
    <w:pPr>
      <w:ind w:firstLine="0"/>
    </w:pPr>
  </w:style>
  <w:style w:type="paragraph" w:styleId="ListContinue3">
    <w:name w:val="List Continue 3"/>
    <w:basedOn w:val="List3"/>
    <w:rsid w:val="00FF4DB9"/>
    <w:pPr>
      <w:ind w:left="1021" w:firstLine="0"/>
    </w:pPr>
  </w:style>
  <w:style w:type="paragraph" w:styleId="ListContinue4">
    <w:name w:val="List Continue 4"/>
    <w:basedOn w:val="List4"/>
    <w:rsid w:val="00FF4DB9"/>
    <w:pPr>
      <w:ind w:firstLine="0"/>
    </w:pPr>
  </w:style>
  <w:style w:type="paragraph" w:styleId="ListContinue5">
    <w:name w:val="List Continue 5"/>
    <w:basedOn w:val="List5"/>
    <w:rsid w:val="00FF4DB9"/>
    <w:pPr>
      <w:ind w:firstLine="0"/>
    </w:pPr>
  </w:style>
  <w:style w:type="paragraph" w:styleId="ListNumber3">
    <w:name w:val="List Number 3"/>
    <w:basedOn w:val="List3"/>
    <w:rsid w:val="00FF4DB9"/>
    <w:pPr>
      <w:numPr>
        <w:numId w:val="5"/>
      </w:numPr>
    </w:pPr>
  </w:style>
  <w:style w:type="paragraph" w:styleId="ListNumber4">
    <w:name w:val="List Number 4"/>
    <w:basedOn w:val="List4"/>
    <w:rsid w:val="00FF4DB9"/>
    <w:pPr>
      <w:numPr>
        <w:numId w:val="6"/>
      </w:numPr>
    </w:pPr>
  </w:style>
  <w:style w:type="paragraph" w:styleId="ListNumber5">
    <w:name w:val="List Number 5"/>
    <w:basedOn w:val="List5"/>
    <w:rsid w:val="00FF4DB9"/>
    <w:pPr>
      <w:numPr>
        <w:numId w:val="7"/>
      </w:numPr>
    </w:pPr>
  </w:style>
  <w:style w:type="paragraph" w:styleId="BlockText">
    <w:name w:val="Block Text"/>
    <w:basedOn w:val="Normal"/>
    <w:rsid w:val="00FF4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DB9"/>
    <w:rPr>
      <w:sz w:val="16"/>
      <w:vertAlign w:val="superscript"/>
    </w:rPr>
  </w:style>
  <w:style w:type="character" w:customStyle="1" w:styleId="Symbols">
    <w:name w:val="Symbols"/>
    <w:basedOn w:val="DefaultParagraphFont"/>
    <w:rsid w:val="00FF4DB9"/>
    <w:rPr>
      <w:rFonts w:ascii="Symbol" w:hAnsi="Symbol"/>
    </w:rPr>
  </w:style>
  <w:style w:type="character" w:customStyle="1" w:styleId="MenuOptions">
    <w:name w:val="Menu Options"/>
    <w:basedOn w:val="DefaultParagraphFont"/>
    <w:rsid w:val="00FF4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DB9"/>
    <w:rPr>
      <w:b/>
    </w:rPr>
  </w:style>
  <w:style w:type="character" w:customStyle="1" w:styleId="Underlined">
    <w:name w:val="Underlined"/>
    <w:basedOn w:val="DefaultParagraphFont"/>
    <w:rsid w:val="00FF4DB9"/>
    <w:rPr>
      <w:u w:val="single"/>
    </w:rPr>
  </w:style>
  <w:style w:type="paragraph" w:customStyle="1" w:styleId="TableBodyTextRight">
    <w:name w:val="Table Body Text Right"/>
    <w:basedOn w:val="TableBodyText"/>
    <w:rsid w:val="00FF4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DB9"/>
    <w:rPr>
      <w:sz w:val="18"/>
    </w:rPr>
  </w:style>
  <w:style w:type="paragraph" w:customStyle="1" w:styleId="BodySmallRight">
    <w:name w:val="Body Small Right"/>
    <w:basedOn w:val="BodyTextRight"/>
    <w:rsid w:val="00FF4DB9"/>
    <w:rPr>
      <w:sz w:val="18"/>
      <w:szCs w:val="18"/>
    </w:rPr>
  </w:style>
  <w:style w:type="paragraph" w:customStyle="1" w:styleId="MarginEdition">
    <w:name w:val="Margin Edition"/>
    <w:basedOn w:val="MarginNote"/>
    <w:rsid w:val="00FF4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DB9"/>
    <w:rPr>
      <w:sz w:val="2"/>
      <w:szCs w:val="2"/>
    </w:rPr>
  </w:style>
  <w:style w:type="character" w:customStyle="1" w:styleId="Small">
    <w:name w:val="Small"/>
    <w:basedOn w:val="DefaultParagraphFont"/>
    <w:rsid w:val="00FF4DB9"/>
    <w:rPr>
      <w:sz w:val="16"/>
    </w:rPr>
  </w:style>
  <w:style w:type="paragraph" w:customStyle="1" w:styleId="WideTable">
    <w:name w:val="Wide Table"/>
    <w:basedOn w:val="Normal"/>
    <w:rsid w:val="00FF4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DB9"/>
  </w:style>
  <w:style w:type="paragraph" w:styleId="Quote">
    <w:name w:val="Quote"/>
    <w:basedOn w:val="Heading1"/>
    <w:link w:val="QuoteChar"/>
    <w:qFormat/>
    <w:rsid w:val="00FF4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DB9"/>
    <w:pPr>
      <w:pageBreakBefore/>
    </w:pPr>
  </w:style>
  <w:style w:type="paragraph" w:customStyle="1" w:styleId="Border">
    <w:name w:val="Border"/>
    <w:basedOn w:val="Normal"/>
    <w:qFormat/>
    <w:rsid w:val="00FF4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DB9"/>
    <w:rPr>
      <w:u w:val="single"/>
    </w:rPr>
  </w:style>
  <w:style w:type="character" w:customStyle="1" w:styleId="BoldandItalics">
    <w:name w:val="Bold and Italics"/>
    <w:qFormat/>
    <w:rsid w:val="00FF4DB9"/>
    <w:rPr>
      <w:b/>
      <w:i/>
      <w:u w:val="none"/>
    </w:rPr>
  </w:style>
  <w:style w:type="paragraph" w:styleId="BalloonText">
    <w:name w:val="Balloon Text"/>
    <w:basedOn w:val="Normal"/>
    <w:link w:val="BalloonTextChar"/>
    <w:rsid w:val="00FF4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D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D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DB9"/>
    <w:pPr>
      <w:spacing w:before="0" w:after="0"/>
    </w:pPr>
  </w:style>
  <w:style w:type="paragraph" w:customStyle="1" w:styleId="BodyTextBold">
    <w:name w:val="Body Text Bold"/>
    <w:basedOn w:val="BodyText"/>
    <w:qFormat/>
    <w:rsid w:val="00FF4DB9"/>
    <w:rPr>
      <w:b/>
    </w:rPr>
  </w:style>
  <w:style w:type="character" w:styleId="Hyperlink">
    <w:name w:val="Hyperlink"/>
    <w:basedOn w:val="DefaultParagraphFont"/>
    <w:uiPriority w:val="99"/>
    <w:unhideWhenUsed/>
    <w:rsid w:val="00611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3025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DEFEXO510 Maintain small arms ammunition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