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E14" w:rsidP="00511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DEFEXO509 Perform purging</w:t>
      </w:r>
      <w:r>
        <w:fldChar w:fldCharType="end"/>
      </w:r>
    </w:p>
    <w:p w:rsidR="00511E14" w:rsidP="00511E14">
      <w:pPr>
        <w:pStyle w:val="Version"/>
        <w:sectPr w:rsidSect="009F4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422B" w:rsidP="009F422B">
      <w:pPr>
        <w:pStyle w:val="SuperHeading"/>
      </w:pPr>
      <w:r w:rsidRPr="009F422B">
        <w:t>DEFEXO509 Perform purging</w:t>
      </w:r>
    </w:p>
    <w:p w:rsidR="00000000" w:rsidRPr="009F422B" w:rsidP="009F422B">
      <w:pPr>
        <w:pStyle w:val="Heading1"/>
      </w:pPr>
      <w:bookmarkStart w:id="1" w:name="O_1098849"/>
      <w:bookmarkEnd w:id="1"/>
      <w:r w:rsidRPr="009F42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Release 2. Modifications made to Assessment Conditions.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Release 1. This is the first release of this unit of competency in the DEF Defence Training Package.</w:t>
            </w:r>
          </w:p>
        </w:tc>
      </w:tr>
    </w:tbl>
    <w:p w:rsidR="00511E14" w:rsidP="009F422B">
      <w:pPr>
        <w:pStyle w:val="NoPaddingFontSize1"/>
      </w:pPr>
    </w:p>
    <w:p w:rsidR="00511E14" w:rsidP="009F422B">
      <w:pPr>
        <w:pStyle w:val="NoPaddingFontSize1"/>
      </w:pPr>
    </w:p>
    <w:p w:rsidR="00000000" w:rsidRPr="009F422B" w:rsidP="009F422B">
      <w:pPr>
        <w:pStyle w:val="Heading1"/>
      </w:pPr>
      <w:bookmarkStart w:id="2" w:name="O_1098848"/>
      <w:bookmarkEnd w:id="2"/>
      <w:r w:rsidRPr="009F42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This unit specifies the skills and knowledg</w:t>
            </w:r>
            <w:r w:rsidRPr="009F422B">
              <w:t>e required to purge explosive ordnance or containers.</w:t>
            </w:r>
          </w:p>
          <w:p w:rsidR="00000000" w:rsidRPr="009F422B" w:rsidP="009F422B">
            <w:pPr>
              <w:pStyle w:val="BodyText"/>
            </w:pPr>
            <w:r w:rsidRPr="009F422B">
              <w:t>It includes preparing for explosive ordnance testing, conducting and monitoring purging and finalising purging procedures.</w:t>
            </w:r>
          </w:p>
          <w:p w:rsidR="00000000" w:rsidRPr="009F422B" w:rsidP="009F422B">
            <w:pPr>
              <w:pStyle w:val="BodyText"/>
            </w:pPr>
            <w:r w:rsidRPr="009F422B">
              <w:t>This unit applies to persons who are required to purge explosive ordnance or co</w:t>
            </w:r>
            <w:r w:rsidRPr="009F422B">
              <w:t>ntainers.</w:t>
            </w:r>
          </w:p>
          <w:p w:rsidR="00000000" w:rsidRPr="009F422B" w:rsidP="009F422B">
            <w:pPr>
              <w:pStyle w:val="BodyText"/>
            </w:pPr>
            <w:r w:rsidRPr="009F422B">
              <w:t>Purging of explosive ordnance or containers is required to be performed on a range of explosive ordnance and specialised containers during maintenance processes.</w:t>
            </w:r>
          </w:p>
          <w:p w:rsidR="00000000" w:rsidRPr="009F422B" w:rsidP="009F422B">
            <w:pPr>
              <w:pStyle w:val="BodyText"/>
            </w:pPr>
            <w:r w:rsidRPr="009F422B">
              <w:t>The skills and knowledge described in this unit must be applied within the legislati</w:t>
            </w:r>
            <w:r w:rsidRPr="009F422B">
              <w:t>ve, regulatory and policy environment in which they are carried out. Organisational policies and procedures must be consulted and adhered to.</w:t>
            </w:r>
          </w:p>
          <w:p w:rsidR="00000000" w:rsidRPr="009F422B" w:rsidP="009F422B">
            <w:pPr>
              <w:pStyle w:val="BodyText"/>
            </w:pPr>
            <w:r w:rsidRPr="009F422B">
              <w:t>No licensing, legislative or certification requirements apply to this unit at the time of publication.</w:t>
            </w:r>
          </w:p>
        </w:tc>
      </w:tr>
    </w:tbl>
    <w:p w:rsidR="00000000" w:rsidRPr="009F422B" w:rsidP="009F422B">
      <w:pPr>
        <w:pStyle w:val="NoPaddingFontSize1"/>
      </w:pPr>
    </w:p>
    <w:p w:rsidR="00000000" w:rsidRPr="009F422B" w:rsidP="009F422B">
      <w:pPr>
        <w:pStyle w:val="AllowPageBreak"/>
      </w:pPr>
    </w:p>
    <w:p w:rsidR="00000000" w:rsidRPr="009F422B" w:rsidP="009F422B">
      <w:pPr>
        <w:pStyle w:val="Heading1"/>
      </w:pPr>
      <w:bookmarkStart w:id="3" w:name="O_1098847"/>
      <w:bookmarkEnd w:id="3"/>
      <w:r w:rsidRPr="009F42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Not applicable</w:t>
            </w:r>
          </w:p>
        </w:tc>
      </w:tr>
    </w:tbl>
    <w:p w:rsidR="00000000" w:rsidRPr="009F422B" w:rsidP="009F422B">
      <w:pPr>
        <w:pStyle w:val="NoPaddingFontSize1"/>
      </w:pPr>
    </w:p>
    <w:p w:rsidR="00000000" w:rsidRPr="009F422B" w:rsidP="009F422B">
      <w:pPr>
        <w:pStyle w:val="AllowPageBreak"/>
      </w:pPr>
    </w:p>
    <w:p w:rsidR="00000000" w:rsidRPr="009F422B" w:rsidP="009F422B">
      <w:pPr>
        <w:pStyle w:val="Heading1"/>
      </w:pPr>
      <w:bookmarkStart w:id="4" w:name="O_1098846"/>
      <w:bookmarkEnd w:id="4"/>
      <w:r w:rsidRPr="009F42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Explosive Ordnance</w:t>
            </w:r>
          </w:p>
        </w:tc>
      </w:tr>
    </w:tbl>
    <w:p w:rsidR="00000000" w:rsidRPr="009F422B" w:rsidP="009F422B">
      <w:pPr>
        <w:pStyle w:val="NoPaddingFontSize1"/>
      </w:pPr>
    </w:p>
    <w:p w:rsidR="00000000" w:rsidRPr="009F422B" w:rsidP="009F422B">
      <w:pPr>
        <w:pStyle w:val="AllowPageBreak"/>
      </w:pPr>
    </w:p>
    <w:p w:rsidR="00000000" w:rsidRPr="009F422B" w:rsidP="009F422B">
      <w:pPr>
        <w:pStyle w:val="Heading1"/>
      </w:pPr>
      <w:bookmarkStart w:id="5" w:name="O_1098845"/>
      <w:bookmarkEnd w:id="5"/>
      <w:r w:rsidRPr="009F42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Not applicable.</w:t>
            </w:r>
          </w:p>
        </w:tc>
      </w:tr>
    </w:tbl>
    <w:p w:rsidR="00000000" w:rsidRPr="009F422B" w:rsidP="009F422B">
      <w:pPr>
        <w:pStyle w:val="NoPaddingFontSize1"/>
      </w:pPr>
    </w:p>
    <w:p w:rsidR="00000000" w:rsidRPr="009F422B" w:rsidP="009F422B">
      <w:pPr>
        <w:pStyle w:val="AllowPageBreak"/>
      </w:pPr>
    </w:p>
    <w:p w:rsidR="00000000" w:rsidRPr="009F422B" w:rsidP="009F422B">
      <w:pPr>
        <w:pStyle w:val="Heading1"/>
      </w:pPr>
      <w:bookmarkStart w:id="6" w:name="O_1098844"/>
      <w:bookmarkEnd w:id="6"/>
      <w:r w:rsidRPr="009F42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PERFORMANCE CRITERIA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Performance criteria describe the performance needed to demonstrate achievement of the element.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rPr>
                <w:rStyle w:val="SpecialBold"/>
              </w:rPr>
              <w:t>Prepare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Identify and confirm purging requirements from work requests/instructions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Apply r</w:t>
            </w:r>
            <w:r w:rsidRPr="009F422B">
              <w:t>elevant work health and safety (WHS) requirements, including those contained in organisational procedures, throughout the operation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Identify, acquire and prepare technical references, tools and equipment required for the tests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Identify, acquire, prepare, move and position explosive ordnance or containers in preparation for the task, in accordance with operational procedures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Prepare purging equipment and set required flow and pressure specifications in accordance with oper</w:t>
            </w:r>
            <w:r w:rsidRPr="009F422B">
              <w:t>ational procedures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Identify, calculate, assess and apply net explosive quantities and compatibility throughout the operation in accordance with organisational procedures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Monitor and maintain environmental conditions in accordance with organisational procedures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rPr>
                <w:rStyle w:val="SpecialBold"/>
              </w:rPr>
              <w:t>Conduct and monitor purging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Monitor purging process in accordance with organisational procedures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Purge explosive ordnance or container in accordance wi</w:t>
            </w:r>
            <w:r w:rsidRPr="009F422B">
              <w:t>th organisational policy and procedures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Apply emergency response and contingency procedures, as required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rPr>
                <w:rStyle w:val="SpecialBold"/>
              </w:rPr>
              <w:t>Finalise purging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Process explosive ordnance or containers in accordance with tasking requirements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t>Maintain equipment/tools in accordance with organisational procedures</w:t>
            </w:r>
          </w:p>
        </w:tc>
      </w:tr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B">
            <w:pPr>
              <w:pStyle w:val="BodyText"/>
              <w:rPr>
                <w:lang w:val="en-NZ"/>
              </w:rPr>
            </w:pPr>
            <w:r w:rsidRPr="009F42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Maintain documentation and records in accordance with statutory, organisational and workshop requirements</w:t>
            </w:r>
          </w:p>
        </w:tc>
      </w:tr>
    </w:tbl>
    <w:p w:rsidR="00000000" w:rsidRPr="009F422B" w:rsidP="009F422B">
      <w:pPr>
        <w:pStyle w:val="NoPaddingFontSize1"/>
      </w:pPr>
    </w:p>
    <w:p w:rsidR="00000000" w:rsidRPr="009F422B" w:rsidP="009F422B">
      <w:pPr>
        <w:pStyle w:val="AllowPageBreak"/>
      </w:pPr>
    </w:p>
    <w:p w:rsidR="00000000" w:rsidRPr="009F422B" w:rsidP="009F422B">
      <w:pPr>
        <w:pStyle w:val="Heading1"/>
      </w:pPr>
      <w:bookmarkStart w:id="7" w:name="O_1098843"/>
      <w:bookmarkEnd w:id="7"/>
      <w:r w:rsidRPr="009F42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Foundation skills essential to per</w:t>
            </w:r>
            <w:r w:rsidRPr="009F422B">
              <w:t>formance are explicit in the performance criteria of this unit of competency.</w:t>
            </w:r>
          </w:p>
        </w:tc>
      </w:tr>
    </w:tbl>
    <w:p w:rsidR="00000000" w:rsidRPr="009F422B" w:rsidP="009F422B">
      <w:pPr>
        <w:pStyle w:val="NoPaddingFontSize1"/>
      </w:pPr>
    </w:p>
    <w:p w:rsidR="00000000" w:rsidRPr="009F422B" w:rsidP="009F422B">
      <w:pPr>
        <w:pStyle w:val="AllowPageBreak"/>
      </w:pPr>
    </w:p>
    <w:p w:rsidR="00000000" w:rsidRPr="009F422B" w:rsidP="009F422B">
      <w:pPr>
        <w:pStyle w:val="Heading1"/>
      </w:pPr>
      <w:bookmarkStart w:id="8" w:name="O_1098842"/>
      <w:bookmarkEnd w:id="8"/>
      <w:r w:rsidRPr="009F42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Range is restricted to essential operating conditions and any other variables essential to the work environment.</w:t>
            </w:r>
          </w:p>
          <w:p w:rsidR="00000000" w:rsidRPr="009F422B" w:rsidP="009F422B">
            <w:pPr>
              <w:pStyle w:val="BodyText"/>
            </w:pPr>
            <w:r w:rsidRPr="009F422B">
              <w:t>Non-essential conditions may be found in the Companion Volume Implementation Guide.</w:t>
            </w:r>
          </w:p>
        </w:tc>
      </w:tr>
    </w:tbl>
    <w:p w:rsidR="00000000" w:rsidRPr="009F422B" w:rsidP="009F422B">
      <w:pPr>
        <w:pStyle w:val="NoPaddingFontSize1"/>
      </w:pPr>
    </w:p>
    <w:p w:rsidR="00000000" w:rsidRPr="009F422B" w:rsidP="009F422B">
      <w:pPr>
        <w:pStyle w:val="AllowPageBreak"/>
      </w:pPr>
    </w:p>
    <w:p w:rsidR="00000000" w:rsidRPr="009F422B" w:rsidP="009F422B">
      <w:pPr>
        <w:pStyle w:val="Heading1"/>
      </w:pPr>
      <w:bookmarkStart w:id="9" w:name="O_1098841"/>
      <w:bookmarkEnd w:id="9"/>
      <w:r w:rsidRPr="009F42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42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B" w:rsidP="009F422B">
            <w:pPr>
              <w:pStyle w:val="BodyText"/>
            </w:pPr>
            <w:r w:rsidRPr="009F422B">
              <w:t>This unit replaces and is equivalent to DEFEO509D Perform purging.</w:t>
            </w:r>
          </w:p>
        </w:tc>
      </w:tr>
    </w:tbl>
    <w:p w:rsidR="00000000" w:rsidRPr="009F422B" w:rsidP="009F422B">
      <w:pPr>
        <w:pStyle w:val="NoPaddingFontSize1"/>
      </w:pPr>
    </w:p>
    <w:p w:rsidR="00000000" w:rsidRPr="009F422B" w:rsidP="009F422B">
      <w:pPr>
        <w:pStyle w:val="AllowPageBreak"/>
      </w:pPr>
    </w:p>
    <w:p w:rsidR="00000000" w:rsidRPr="009F422B" w:rsidP="009F422B">
      <w:pPr>
        <w:pStyle w:val="Heading1"/>
      </w:pPr>
      <w:bookmarkStart w:id="10" w:name="O_1098850"/>
      <w:bookmarkEnd w:id="10"/>
      <w:r w:rsidRPr="009F422B">
        <w:t>Links</w:t>
      </w:r>
    </w:p>
    <w:p w:rsidR="00000000" w:rsidRPr="009F422B" w:rsidP="00511E14">
      <w:pPr>
        <w:pStyle w:val="BodyText"/>
      </w:pPr>
      <w:r w:rsidRPr="009F422B">
        <w:t xml:space="preserve">Companion Volume implementation </w:t>
      </w:r>
      <w:r w:rsidRPr="009F422B">
        <w:t xml:space="preserve">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71CE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422B" w:rsidP="009F422B"/>
    <w:sectPr w:rsidSect="009F42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B" w:rsidRPr="00511E14" w:rsidP="00511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14" w:rsidP="009F4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E14" w:rsidP="009F4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11E14" w:rsidP="009F4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22B" w:rsidRPr="00511E14" w:rsidP="00511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14" w:rsidRPr="002D2AF8" w:rsidP="009F4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DEFEXO509 Perform purging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511E14" w:rsidP="009F4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22B"/>
  </w:style>
  <w:style w:type="character" w:customStyle="1" w:styleId="Heading1Char">
    <w:name w:val="Heading 1 Char"/>
    <w:basedOn w:val="DefaultParagraphFont"/>
    <w:link w:val="Heading1"/>
    <w:rsid w:val="009F4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2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422B"/>
    <w:rPr>
      <w:b/>
      <w:spacing w:val="0"/>
    </w:rPr>
  </w:style>
  <w:style w:type="paragraph" w:customStyle="1" w:styleId="SuperHeading">
    <w:name w:val="SuperHeading"/>
    <w:basedOn w:val="Normal"/>
    <w:rsid w:val="009F4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4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2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2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4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2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22B"/>
    <w:rPr>
      <w:i/>
    </w:rPr>
  </w:style>
  <w:style w:type="paragraph" w:styleId="Caption">
    <w:name w:val="caption"/>
    <w:basedOn w:val="BodyText"/>
    <w:next w:val="Normal"/>
    <w:qFormat/>
    <w:rsid w:val="009F4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22B"/>
  </w:style>
  <w:style w:type="paragraph" w:styleId="TableofFigures">
    <w:name w:val="table of figures"/>
    <w:basedOn w:val="Normal"/>
    <w:next w:val="Normal"/>
    <w:semiHidden/>
    <w:rsid w:val="009F4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2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422B"/>
    <w:rPr>
      <w:rFonts w:ascii="Wingdings" w:hAnsi="Wingdings"/>
    </w:rPr>
  </w:style>
  <w:style w:type="paragraph" w:customStyle="1" w:styleId="TableHeading">
    <w:name w:val="Table Heading"/>
    <w:basedOn w:val="HeadingBase"/>
    <w:rsid w:val="009F4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22B"/>
    <w:rPr>
      <w:color w:val="0033CC"/>
      <w:u w:val="none"/>
    </w:rPr>
  </w:style>
  <w:style w:type="paragraph" w:customStyle="1" w:styleId="BodyTextRight">
    <w:name w:val="Body Text Right"/>
    <w:basedOn w:val="BodyText"/>
    <w:rsid w:val="009F4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2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22B"/>
    <w:rPr>
      <w:sz w:val="32"/>
    </w:rPr>
  </w:style>
  <w:style w:type="paragraph" w:customStyle="1" w:styleId="HeadingProcedure">
    <w:name w:val="Heading Procedure"/>
    <w:basedOn w:val="HeadingBase"/>
    <w:next w:val="Normal"/>
    <w:rsid w:val="009F4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22B"/>
    <w:pPr>
      <w:spacing w:before="60" w:after="60"/>
    </w:pPr>
  </w:style>
  <w:style w:type="paragraph" w:styleId="ListContinue">
    <w:name w:val="List Continue"/>
    <w:basedOn w:val="List"/>
    <w:rsid w:val="009F422B"/>
    <w:pPr>
      <w:ind w:firstLine="0"/>
    </w:pPr>
  </w:style>
  <w:style w:type="paragraph" w:customStyle="1" w:styleId="ListNote">
    <w:name w:val="List Note"/>
    <w:basedOn w:val="List"/>
    <w:rsid w:val="009F4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22B"/>
    <w:rPr>
      <w:rFonts w:ascii="Courier New" w:hAnsi="Courier New"/>
    </w:rPr>
  </w:style>
  <w:style w:type="paragraph" w:customStyle="1" w:styleId="NoteBullet">
    <w:name w:val="Note Bullet"/>
    <w:basedOn w:val="Note"/>
    <w:rsid w:val="009F4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2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4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22B"/>
    <w:rPr>
      <w:b/>
      <w:smallCaps/>
    </w:rPr>
  </w:style>
  <w:style w:type="paragraph" w:customStyle="1" w:styleId="TableListNumber">
    <w:name w:val="Table List Number"/>
    <w:basedOn w:val="ListNumber"/>
    <w:rsid w:val="009F4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22B"/>
    <w:pPr>
      <w:numPr>
        <w:numId w:val="7"/>
      </w:numPr>
    </w:pPr>
  </w:style>
  <w:style w:type="paragraph" w:customStyle="1" w:styleId="ListAlpha2">
    <w:name w:val="List Alpha 2"/>
    <w:basedOn w:val="List2"/>
    <w:rsid w:val="009F422B"/>
    <w:pPr>
      <w:numPr>
        <w:numId w:val="6"/>
      </w:numPr>
    </w:pPr>
  </w:style>
  <w:style w:type="paragraph" w:styleId="List2">
    <w:name w:val="List 2"/>
    <w:basedOn w:val="BodyText"/>
    <w:rsid w:val="009F4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2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2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422B"/>
    <w:pPr>
      <w:numPr>
        <w:numId w:val="2"/>
      </w:numPr>
    </w:pPr>
  </w:style>
  <w:style w:type="paragraph" w:styleId="ListContinue2">
    <w:name w:val="List Continue 2"/>
    <w:basedOn w:val="List2"/>
    <w:rsid w:val="009F422B"/>
    <w:pPr>
      <w:ind w:firstLine="0"/>
    </w:pPr>
  </w:style>
  <w:style w:type="paragraph" w:styleId="ListContinue3">
    <w:name w:val="List Continue 3"/>
    <w:basedOn w:val="List3"/>
    <w:rsid w:val="009F422B"/>
    <w:pPr>
      <w:ind w:left="1021" w:firstLine="0"/>
    </w:pPr>
  </w:style>
  <w:style w:type="paragraph" w:styleId="ListContinue4">
    <w:name w:val="List Continue 4"/>
    <w:basedOn w:val="List4"/>
    <w:rsid w:val="009F422B"/>
    <w:pPr>
      <w:ind w:firstLine="0"/>
    </w:pPr>
  </w:style>
  <w:style w:type="paragraph" w:styleId="ListContinue5">
    <w:name w:val="List Continue 5"/>
    <w:basedOn w:val="List5"/>
    <w:rsid w:val="009F422B"/>
    <w:pPr>
      <w:ind w:firstLine="0"/>
    </w:pPr>
  </w:style>
  <w:style w:type="paragraph" w:styleId="ListNumber3">
    <w:name w:val="List Number 3"/>
    <w:basedOn w:val="List3"/>
    <w:rsid w:val="009F422B"/>
    <w:pPr>
      <w:numPr>
        <w:numId w:val="3"/>
      </w:numPr>
    </w:pPr>
  </w:style>
  <w:style w:type="paragraph" w:styleId="ListNumber4">
    <w:name w:val="List Number 4"/>
    <w:basedOn w:val="List4"/>
    <w:rsid w:val="009F422B"/>
    <w:pPr>
      <w:numPr>
        <w:numId w:val="4"/>
      </w:numPr>
    </w:pPr>
  </w:style>
  <w:style w:type="paragraph" w:styleId="ListNumber5">
    <w:name w:val="List Number 5"/>
    <w:basedOn w:val="List5"/>
    <w:rsid w:val="009F422B"/>
    <w:pPr>
      <w:numPr>
        <w:numId w:val="5"/>
      </w:numPr>
    </w:pPr>
  </w:style>
  <w:style w:type="paragraph" w:styleId="BlockText">
    <w:name w:val="Block Text"/>
    <w:basedOn w:val="Normal"/>
    <w:rsid w:val="009F4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22B"/>
    <w:rPr>
      <w:sz w:val="16"/>
      <w:vertAlign w:val="superscript"/>
    </w:rPr>
  </w:style>
  <w:style w:type="character" w:customStyle="1" w:styleId="Symbols">
    <w:name w:val="Symbols"/>
    <w:basedOn w:val="DefaultParagraphFont"/>
    <w:rsid w:val="009F422B"/>
    <w:rPr>
      <w:rFonts w:ascii="Symbol" w:hAnsi="Symbol"/>
    </w:rPr>
  </w:style>
  <w:style w:type="character" w:customStyle="1" w:styleId="MenuOptions">
    <w:name w:val="Menu Options"/>
    <w:basedOn w:val="DefaultParagraphFont"/>
    <w:rsid w:val="009F4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22B"/>
    <w:rPr>
      <w:b/>
    </w:rPr>
  </w:style>
  <w:style w:type="character" w:customStyle="1" w:styleId="Underlined">
    <w:name w:val="Underlined"/>
    <w:basedOn w:val="DefaultParagraphFont"/>
    <w:rsid w:val="009F422B"/>
    <w:rPr>
      <w:u w:val="single"/>
    </w:rPr>
  </w:style>
  <w:style w:type="paragraph" w:customStyle="1" w:styleId="TableBodyTextRight">
    <w:name w:val="Table Body Text Right"/>
    <w:basedOn w:val="TableBodyText"/>
    <w:rsid w:val="009F4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22B"/>
    <w:rPr>
      <w:sz w:val="18"/>
    </w:rPr>
  </w:style>
  <w:style w:type="paragraph" w:customStyle="1" w:styleId="BodySmallRight">
    <w:name w:val="Body Small Right"/>
    <w:basedOn w:val="BodyTextRight"/>
    <w:rsid w:val="009F422B"/>
    <w:rPr>
      <w:sz w:val="18"/>
      <w:szCs w:val="18"/>
    </w:rPr>
  </w:style>
  <w:style w:type="paragraph" w:customStyle="1" w:styleId="MarginEdition">
    <w:name w:val="Margin Edition"/>
    <w:basedOn w:val="MarginNote"/>
    <w:rsid w:val="009F4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22B"/>
    <w:rPr>
      <w:sz w:val="2"/>
      <w:szCs w:val="2"/>
    </w:rPr>
  </w:style>
  <w:style w:type="character" w:customStyle="1" w:styleId="Small">
    <w:name w:val="Small"/>
    <w:basedOn w:val="DefaultParagraphFont"/>
    <w:rsid w:val="009F422B"/>
    <w:rPr>
      <w:sz w:val="16"/>
    </w:rPr>
  </w:style>
  <w:style w:type="paragraph" w:customStyle="1" w:styleId="WideTable">
    <w:name w:val="Wide Table"/>
    <w:basedOn w:val="Normal"/>
    <w:rsid w:val="009F4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22B"/>
  </w:style>
  <w:style w:type="paragraph" w:styleId="Quote">
    <w:name w:val="Quote"/>
    <w:basedOn w:val="Heading1"/>
    <w:link w:val="QuoteChar"/>
    <w:qFormat/>
    <w:rsid w:val="009F4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22B"/>
    <w:pPr>
      <w:pageBreakBefore/>
    </w:pPr>
  </w:style>
  <w:style w:type="paragraph" w:customStyle="1" w:styleId="Border">
    <w:name w:val="Border"/>
    <w:basedOn w:val="Normal"/>
    <w:qFormat/>
    <w:rsid w:val="009F4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22B"/>
    <w:rPr>
      <w:u w:val="single"/>
    </w:rPr>
  </w:style>
  <w:style w:type="character" w:customStyle="1" w:styleId="BoldandItalics">
    <w:name w:val="Bold and Italics"/>
    <w:qFormat/>
    <w:rsid w:val="009F422B"/>
    <w:rPr>
      <w:b/>
      <w:i/>
      <w:u w:val="none"/>
    </w:rPr>
  </w:style>
  <w:style w:type="paragraph" w:styleId="BalloonText">
    <w:name w:val="Balloon Text"/>
    <w:basedOn w:val="Normal"/>
    <w:link w:val="BalloonTextChar"/>
    <w:rsid w:val="009F4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22B"/>
    <w:pPr>
      <w:spacing w:before="0" w:after="0"/>
    </w:pPr>
  </w:style>
  <w:style w:type="paragraph" w:customStyle="1" w:styleId="BodyTextBold">
    <w:name w:val="Body Text Bold"/>
    <w:basedOn w:val="BodyText"/>
    <w:qFormat/>
    <w:rsid w:val="009F422B"/>
    <w:rPr>
      <w:b/>
    </w:rPr>
  </w:style>
  <w:style w:type="character" w:styleId="Hyperlink">
    <w:name w:val="Hyperlink"/>
    <w:basedOn w:val="DefaultParagraphFont"/>
    <w:uiPriority w:val="99"/>
    <w:unhideWhenUsed/>
    <w:rsid w:val="00511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3142</Characters>
  <Application>Microsoft Office Word</Application>
  <DocSecurity>0</DocSecurity>
  <Lines>142</Lines>
  <Paragraphs>78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DEFEXO509 Perform purging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2024-11-25T10:12:00Z</dcterms:created>
  <dcterms:modified xsi:type="dcterms:W3CDTF">2024-11-25T10:12:00Z</dcterms:modified>
</cp:coreProperties>
</file>