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3C7" w:rsidP="00AF03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DEFEXO509 Perform purging</w:t>
      </w:r>
      <w:r>
        <w:fldChar w:fldCharType="end"/>
      </w:r>
    </w:p>
    <w:p w:rsidR="00AF03C7" w:rsidP="00AF03C7">
      <w:pPr>
        <w:pStyle w:val="Version"/>
        <w:sectPr w:rsidSect="00736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6C02" w:rsidP="00736C02">
      <w:pPr>
        <w:pStyle w:val="SuperHeading"/>
      </w:pPr>
      <w:r w:rsidRPr="00736C02">
        <w:t>DEFEXO509 Perform purging</w:t>
      </w:r>
    </w:p>
    <w:p w:rsidR="00000000" w:rsidRPr="00736C02" w:rsidP="00736C02">
      <w:pPr>
        <w:pStyle w:val="Heading1"/>
      </w:pPr>
      <w:bookmarkStart w:id="1" w:name="O_1098849"/>
      <w:bookmarkEnd w:id="1"/>
      <w:r w:rsidRPr="00736C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Release 2. Modifications made to Assessment Conditions.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Release 1. This is the first release of this unit of competency in the DEF Defence Training Package.</w:t>
            </w:r>
          </w:p>
        </w:tc>
      </w:tr>
    </w:tbl>
    <w:p w:rsidR="00AF03C7" w:rsidP="00736C02">
      <w:pPr>
        <w:pStyle w:val="NoPaddingFontSize1"/>
      </w:pPr>
    </w:p>
    <w:p w:rsidR="00AF03C7" w:rsidP="00736C02">
      <w:pPr>
        <w:pStyle w:val="NoPaddingFontSize1"/>
      </w:pPr>
    </w:p>
    <w:p w:rsidR="00000000" w:rsidRPr="00736C02" w:rsidP="00736C02">
      <w:pPr>
        <w:pStyle w:val="Heading1"/>
      </w:pPr>
      <w:bookmarkStart w:id="2" w:name="O_1098848"/>
      <w:bookmarkEnd w:id="2"/>
      <w:r w:rsidRPr="00736C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This unit specifies the skills and knowledg</w:t>
            </w:r>
            <w:r w:rsidRPr="00736C02">
              <w:t>e required to purge explosive ordnance or containers.</w:t>
            </w:r>
          </w:p>
          <w:p w:rsidR="00000000" w:rsidRPr="00736C02" w:rsidP="00736C02">
            <w:pPr>
              <w:pStyle w:val="BodyText"/>
            </w:pPr>
            <w:r w:rsidRPr="00736C02">
              <w:t>It includes preparing for explosive ordnance testing, conducting and monitoring purging and finalising purging procedures.</w:t>
            </w:r>
          </w:p>
          <w:p w:rsidR="00000000" w:rsidRPr="00736C02" w:rsidP="00736C02">
            <w:pPr>
              <w:pStyle w:val="BodyText"/>
            </w:pPr>
            <w:r w:rsidRPr="00736C02">
              <w:t>This unit applies to persons who are required to purge explosive ordnance or co</w:t>
            </w:r>
            <w:r w:rsidRPr="00736C02">
              <w:t>ntainers.</w:t>
            </w:r>
          </w:p>
          <w:p w:rsidR="00000000" w:rsidRPr="00736C02" w:rsidP="00736C02">
            <w:pPr>
              <w:pStyle w:val="BodyText"/>
            </w:pPr>
            <w:r w:rsidRPr="00736C02">
              <w:t>Purging of explosive ordnance or containers is required to be performed on a range of explosive ordnance and specialised containers during maintenance processes.</w:t>
            </w:r>
          </w:p>
          <w:p w:rsidR="00000000" w:rsidRPr="00736C02" w:rsidP="00736C02">
            <w:pPr>
              <w:pStyle w:val="BodyText"/>
            </w:pPr>
            <w:r w:rsidRPr="00736C02">
              <w:t>The skills and knowledge described in this unit must be applied within the legislati</w:t>
            </w:r>
            <w:r w:rsidRPr="00736C02">
              <w:t>ve, regulatory and policy environment in which they are carried out. Organisational policies and procedures must be consulted and adhered to.</w:t>
            </w:r>
          </w:p>
          <w:p w:rsidR="00000000" w:rsidRPr="00736C02" w:rsidP="00736C02">
            <w:pPr>
              <w:pStyle w:val="BodyText"/>
            </w:pPr>
            <w:r w:rsidRPr="00736C02">
              <w:t>No licensing, legislative or certification requirements apply to this unit at the time of publication.</w:t>
            </w:r>
          </w:p>
        </w:tc>
      </w:tr>
    </w:tbl>
    <w:p w:rsidR="00000000" w:rsidRPr="00736C02" w:rsidP="00736C02">
      <w:pPr>
        <w:pStyle w:val="NoPaddingFontSize1"/>
      </w:pPr>
    </w:p>
    <w:p w:rsidR="00000000" w:rsidRPr="00736C02" w:rsidP="00736C02">
      <w:pPr>
        <w:pStyle w:val="AllowPageBreak"/>
      </w:pPr>
    </w:p>
    <w:p w:rsidR="00000000" w:rsidRPr="00736C02" w:rsidP="00736C02">
      <w:pPr>
        <w:pStyle w:val="Heading1"/>
      </w:pPr>
      <w:bookmarkStart w:id="3" w:name="O_1098847"/>
      <w:bookmarkEnd w:id="3"/>
      <w:r w:rsidRPr="00736C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Not applicable</w:t>
            </w:r>
          </w:p>
        </w:tc>
      </w:tr>
    </w:tbl>
    <w:p w:rsidR="00000000" w:rsidRPr="00736C02" w:rsidP="00736C02">
      <w:pPr>
        <w:pStyle w:val="NoPaddingFontSize1"/>
      </w:pPr>
    </w:p>
    <w:p w:rsidR="00000000" w:rsidRPr="00736C02" w:rsidP="00736C02">
      <w:pPr>
        <w:pStyle w:val="AllowPageBreak"/>
      </w:pPr>
    </w:p>
    <w:p w:rsidR="00000000" w:rsidRPr="00736C02" w:rsidP="00736C02">
      <w:pPr>
        <w:pStyle w:val="Heading1"/>
      </w:pPr>
      <w:bookmarkStart w:id="4" w:name="O_1098846"/>
      <w:bookmarkEnd w:id="4"/>
      <w:r w:rsidRPr="00736C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Explosive Ordnance</w:t>
            </w:r>
          </w:p>
        </w:tc>
      </w:tr>
    </w:tbl>
    <w:p w:rsidR="00000000" w:rsidRPr="00736C02" w:rsidP="00736C02">
      <w:pPr>
        <w:pStyle w:val="NoPaddingFontSize1"/>
      </w:pPr>
    </w:p>
    <w:p w:rsidR="00000000" w:rsidRPr="00736C02" w:rsidP="00736C02">
      <w:pPr>
        <w:pStyle w:val="AllowPageBreak"/>
      </w:pPr>
    </w:p>
    <w:p w:rsidR="00000000" w:rsidRPr="00736C02" w:rsidP="00736C02">
      <w:pPr>
        <w:pStyle w:val="Heading1"/>
      </w:pPr>
      <w:bookmarkStart w:id="5" w:name="O_1098845"/>
      <w:bookmarkEnd w:id="5"/>
      <w:r w:rsidRPr="00736C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Not applicable.</w:t>
            </w:r>
          </w:p>
        </w:tc>
      </w:tr>
    </w:tbl>
    <w:p w:rsidR="00000000" w:rsidRPr="00736C02" w:rsidP="00736C02">
      <w:pPr>
        <w:pStyle w:val="NoPaddingFontSize1"/>
      </w:pPr>
    </w:p>
    <w:p w:rsidR="00000000" w:rsidRPr="00736C02" w:rsidP="00736C02">
      <w:pPr>
        <w:pStyle w:val="AllowPageBreak"/>
      </w:pPr>
    </w:p>
    <w:p w:rsidR="00000000" w:rsidRPr="00736C02" w:rsidP="00736C02">
      <w:pPr>
        <w:pStyle w:val="Heading1"/>
      </w:pPr>
      <w:bookmarkStart w:id="6" w:name="O_1098844"/>
      <w:bookmarkEnd w:id="6"/>
      <w:r w:rsidRPr="00736C0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PERFORMANCE CRITERIA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Performance criteria describe the performance needed to demonstrate achievement of the element.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rPr>
                <w:rStyle w:val="SpecialBold"/>
              </w:rPr>
              <w:t>Prepare for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Identify and confirm purging requirements from work requests/instructions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Apply r</w:t>
            </w:r>
            <w:r w:rsidRPr="00736C02">
              <w:t>elevant work health and safety (WHS) requirements, including those contained in organisational procedures, throughout the operation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Identify, acquire and prepare technical references, tools and equipment required for the tests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Identify, acquire, prepare, move and position explosive ordnance or containers in preparation for the task, in accordance with operational procedures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Prepare purging equipment and set required flow and pressure specifications in accordance with oper</w:t>
            </w:r>
            <w:r w:rsidRPr="00736C02">
              <w:t>ational procedures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Identify, calculate, assess and apply net explosive quantities and compatibility throughout the operation in accordance with organisational procedures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Monitor and maintain environmental conditions in accordance with organisational procedures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rPr>
                <w:rStyle w:val="SpecialBold"/>
              </w:rPr>
              <w:t>Conduct and monitor purging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Monitor purging process in accordance with organisational procedures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Purge explosive ordnance or container in accordance wi</w:t>
            </w:r>
            <w:r w:rsidRPr="00736C02">
              <w:t>th organisational policy and procedures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Apply emergency response and contingency procedures, as required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rPr>
                <w:rStyle w:val="SpecialBold"/>
              </w:rPr>
              <w:t>Finalise purging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Process explosive ordnance or containers in accordance with tasking requirements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Maintain equipment/tools in accordance with organisational procedures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Maintain documentation and records in accordance with statutory, organisational and workshop requirements</w:t>
            </w:r>
          </w:p>
        </w:tc>
      </w:tr>
    </w:tbl>
    <w:p w:rsidR="00000000" w:rsidRPr="00736C02" w:rsidP="00736C02">
      <w:pPr>
        <w:pStyle w:val="NoPaddingFontSize1"/>
      </w:pPr>
    </w:p>
    <w:p w:rsidR="00000000" w:rsidRPr="00736C02" w:rsidP="00736C02">
      <w:pPr>
        <w:pStyle w:val="AllowPageBreak"/>
      </w:pPr>
    </w:p>
    <w:p w:rsidR="00000000" w:rsidRPr="00736C02" w:rsidP="00736C02">
      <w:pPr>
        <w:pStyle w:val="Heading1"/>
      </w:pPr>
      <w:bookmarkStart w:id="7" w:name="O_1098843"/>
      <w:bookmarkEnd w:id="7"/>
      <w:r w:rsidRPr="00736C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Foundation skills essential to per</w:t>
            </w:r>
            <w:r w:rsidRPr="00736C02">
              <w:t>formance are explicit in the performance criteria of this unit of competency.</w:t>
            </w:r>
          </w:p>
        </w:tc>
      </w:tr>
    </w:tbl>
    <w:p w:rsidR="00000000" w:rsidRPr="00736C02" w:rsidP="00736C02">
      <w:pPr>
        <w:pStyle w:val="NoPaddingFontSize1"/>
      </w:pPr>
    </w:p>
    <w:p w:rsidR="00000000" w:rsidRPr="00736C02" w:rsidP="00736C02">
      <w:pPr>
        <w:pStyle w:val="AllowPageBreak"/>
      </w:pPr>
    </w:p>
    <w:p w:rsidR="00000000" w:rsidRPr="00736C02" w:rsidP="00736C02">
      <w:pPr>
        <w:pStyle w:val="Heading1"/>
      </w:pPr>
      <w:bookmarkStart w:id="8" w:name="O_1098842"/>
      <w:bookmarkEnd w:id="8"/>
      <w:r w:rsidRPr="00736C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Range is restricted to essential operating conditions and any other variables essential to the work environment.</w:t>
            </w:r>
          </w:p>
          <w:p w:rsidR="00000000" w:rsidRPr="00736C02" w:rsidP="00736C02">
            <w:pPr>
              <w:pStyle w:val="BodyText"/>
            </w:pPr>
            <w:r w:rsidRPr="00736C02">
              <w:t>Non-essential conditions may be found in the Companion Volume Implementation Guide.</w:t>
            </w:r>
          </w:p>
        </w:tc>
      </w:tr>
    </w:tbl>
    <w:p w:rsidR="00000000" w:rsidRPr="00736C02" w:rsidP="00736C02">
      <w:pPr>
        <w:pStyle w:val="NoPaddingFontSize1"/>
      </w:pPr>
    </w:p>
    <w:p w:rsidR="00000000" w:rsidRPr="00736C02" w:rsidP="00736C02">
      <w:pPr>
        <w:pStyle w:val="AllowPageBreak"/>
      </w:pPr>
    </w:p>
    <w:p w:rsidR="00000000" w:rsidRPr="00736C02" w:rsidP="00736C02">
      <w:pPr>
        <w:pStyle w:val="Heading1"/>
      </w:pPr>
      <w:bookmarkStart w:id="9" w:name="O_1098841"/>
      <w:bookmarkEnd w:id="9"/>
      <w:r w:rsidRPr="00736C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This unit replaces and is equivalent to DEFEO509D Perform purging.</w:t>
            </w:r>
          </w:p>
        </w:tc>
      </w:tr>
    </w:tbl>
    <w:p w:rsidR="00000000" w:rsidRPr="00736C02" w:rsidP="00736C02">
      <w:pPr>
        <w:pStyle w:val="NoPaddingFontSize1"/>
      </w:pPr>
    </w:p>
    <w:p w:rsidR="00000000" w:rsidRPr="00736C02" w:rsidP="00736C02">
      <w:pPr>
        <w:pStyle w:val="AllowPageBreak"/>
      </w:pPr>
    </w:p>
    <w:p w:rsidR="00000000" w:rsidRPr="00736C02" w:rsidP="00736C02">
      <w:pPr>
        <w:pStyle w:val="Heading1"/>
      </w:pPr>
      <w:bookmarkStart w:id="10" w:name="O_1098850"/>
      <w:bookmarkEnd w:id="10"/>
      <w:r w:rsidRPr="00736C02">
        <w:t>Links</w:t>
      </w:r>
    </w:p>
    <w:p w:rsidR="00000000" w:rsidRPr="00736C02" w:rsidP="00AF03C7">
      <w:pPr>
        <w:pStyle w:val="BodyText"/>
      </w:pPr>
      <w:r w:rsidRPr="00736C02">
        <w:t xml:space="preserve">Companion Volume implementation </w:t>
      </w:r>
      <w:r w:rsidRPr="00736C02">
        <w:t xml:space="preserve">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00FD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36C02" w:rsidP="00AF03C7">
      <w:pPr>
        <w:pStyle w:val="BodyText"/>
        <w:sectPr w:rsidSect="00736C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6C02" w:rsidP="00736C02">
      <w:pPr>
        <w:pStyle w:val="SuperHeading"/>
      </w:pPr>
      <w:r w:rsidRPr="00736C02">
        <w:t>Assessment Requirements for DEFEXO509 Perform purging</w:t>
      </w:r>
    </w:p>
    <w:p w:rsidR="00000000" w:rsidRPr="00736C02" w:rsidP="00736C02">
      <w:pPr>
        <w:pStyle w:val="Heading1"/>
      </w:pPr>
      <w:bookmarkStart w:id="11" w:name="O_1098839"/>
      <w:bookmarkEnd w:id="11"/>
      <w:r w:rsidRPr="00736C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C02">
            <w:pPr>
              <w:pStyle w:val="BodyText"/>
              <w:rPr>
                <w:lang w:val="en-NZ"/>
              </w:rPr>
            </w:pPr>
            <w:r w:rsidRPr="00736C02">
              <w:t>Release 2. Modifications made to Assessment Conditions.</w:t>
            </w:r>
          </w:p>
        </w:tc>
      </w:tr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Release 1. This is the first release of this unit of competency in the DEF Defence Training Package.</w:t>
            </w:r>
          </w:p>
        </w:tc>
      </w:tr>
    </w:tbl>
    <w:p w:rsidR="00AF03C7" w:rsidP="00736C02">
      <w:pPr>
        <w:pStyle w:val="NoPaddingFontSize1"/>
      </w:pPr>
    </w:p>
    <w:p w:rsidR="00AF03C7" w:rsidP="00736C02">
      <w:pPr>
        <w:pStyle w:val="NoPaddingFontSize1"/>
      </w:pPr>
    </w:p>
    <w:p w:rsidR="00000000" w:rsidRPr="00736C02" w:rsidP="00736C02">
      <w:pPr>
        <w:pStyle w:val="Heading1"/>
      </w:pPr>
      <w:bookmarkStart w:id="12" w:name="O_1098838"/>
      <w:bookmarkEnd w:id="12"/>
      <w:r w:rsidRPr="00736C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Evidence required to demonstrate competence in this uni</w:t>
            </w:r>
            <w:r w:rsidRPr="00736C02">
              <w:t>t must be relevant to and satisfy all of the requirements of the elements and performance criteria on at least one occasion and include:</w:t>
            </w:r>
          </w:p>
          <w:p w:rsidR="00000000" w:rsidRPr="00736C02" w:rsidP="00736C02">
            <w:pPr>
              <w:pStyle w:val="ListBullet"/>
            </w:pPr>
            <w:r w:rsidRPr="00736C02">
              <w:t>applying relevant compatibility and environmental constraints</w:t>
            </w:r>
          </w:p>
          <w:p w:rsidR="00000000" w:rsidRPr="00736C02" w:rsidP="00736C02">
            <w:pPr>
              <w:pStyle w:val="ListBullet"/>
            </w:pPr>
            <w:r w:rsidRPr="00736C02">
              <w:t>applying relevant legislation, statutory requirements, o</w:t>
            </w:r>
            <w:r w:rsidRPr="00736C02">
              <w:t>rganisational policies, procedures and structures</w:t>
            </w:r>
          </w:p>
          <w:p w:rsidR="00000000" w:rsidRPr="00736C02" w:rsidP="00736C02">
            <w:pPr>
              <w:pStyle w:val="ListBullet"/>
            </w:pPr>
            <w:r w:rsidRPr="00736C02">
              <w:t>calculating and applying net explosive quantity</w:t>
            </w:r>
          </w:p>
          <w:p w:rsidR="00000000" w:rsidRPr="00736C02" w:rsidP="00736C02">
            <w:pPr>
              <w:pStyle w:val="ListBullet"/>
            </w:pPr>
            <w:r w:rsidRPr="00736C02">
              <w:t>communicating effectively orally and in writing</w:t>
            </w:r>
          </w:p>
          <w:p w:rsidR="00000000" w:rsidRPr="00736C02" w:rsidP="00736C02">
            <w:pPr>
              <w:pStyle w:val="ListBullet"/>
            </w:pPr>
            <w:r w:rsidRPr="00736C02">
              <w:t>preparing for testing</w:t>
            </w:r>
          </w:p>
          <w:p w:rsidR="00000000" w:rsidRPr="00736C02" w:rsidP="00736C02">
            <w:pPr>
              <w:pStyle w:val="ListBullet"/>
            </w:pPr>
            <w:r w:rsidRPr="00736C02">
              <w:t>reading, accessing, interpreting and applying technic</w:t>
            </w:r>
            <w:r w:rsidRPr="00736C02">
              <w:t>al instructions and drawings related to purging</w:t>
            </w:r>
          </w:p>
          <w:p w:rsidR="00000000" w:rsidRPr="00736C02" w:rsidP="00736C02">
            <w:pPr>
              <w:pStyle w:val="ListBullet"/>
            </w:pPr>
            <w:r w:rsidRPr="00736C02">
              <w:t>undertaking purging activities including:</w:t>
            </w:r>
          </w:p>
          <w:p w:rsidR="00000000" w:rsidRPr="00736C02" w:rsidP="00736C02">
            <w:pPr>
              <w:pStyle w:val="ListBullet2"/>
            </w:pPr>
            <w:r w:rsidRPr="00736C02">
              <w:t>conducting and monitoring purging</w:t>
            </w:r>
          </w:p>
          <w:p w:rsidR="00000000" w:rsidRPr="00736C02" w:rsidP="00736C02">
            <w:pPr>
              <w:pStyle w:val="ListBullet2"/>
            </w:pPr>
            <w:r w:rsidRPr="00736C02">
              <w:t>finalising purging procedures</w:t>
            </w:r>
          </w:p>
          <w:p w:rsidR="00000000" w:rsidRPr="00736C02" w:rsidP="00736C02">
            <w:pPr>
              <w:pStyle w:val="ListBullet2"/>
            </w:pPr>
            <w:r w:rsidRPr="00736C02">
              <w:t>maintaining documentation</w:t>
            </w:r>
          </w:p>
          <w:p w:rsidR="00000000" w:rsidRPr="00736C02" w:rsidP="00736C02">
            <w:pPr>
              <w:pStyle w:val="ListBullet2"/>
            </w:pPr>
            <w:r w:rsidRPr="00736C02">
              <w:t>monitoring pressures</w:t>
            </w:r>
          </w:p>
          <w:p w:rsidR="00000000" w:rsidRPr="00736C02" w:rsidP="00736C02">
            <w:pPr>
              <w:pStyle w:val="ListBullet2"/>
            </w:pPr>
            <w:r w:rsidRPr="00736C02">
              <w:t>operating purging equipment</w:t>
            </w:r>
          </w:p>
        </w:tc>
      </w:tr>
    </w:tbl>
    <w:p w:rsidR="00AF03C7" w:rsidP="00736C02">
      <w:pPr>
        <w:pStyle w:val="NoPaddingFontSize1"/>
      </w:pPr>
    </w:p>
    <w:p w:rsidR="00AF03C7" w:rsidP="00736C02">
      <w:pPr>
        <w:pStyle w:val="NoPaddingFontSize1"/>
      </w:pPr>
    </w:p>
    <w:p w:rsidR="00000000" w:rsidRPr="00736C02" w:rsidP="00736C02">
      <w:pPr>
        <w:pStyle w:val="Heading1"/>
      </w:pPr>
      <w:bookmarkStart w:id="13" w:name="O_1098837"/>
      <w:bookmarkEnd w:id="13"/>
      <w:r w:rsidRPr="00736C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736C02" w:rsidP="00736C02">
            <w:pPr>
              <w:pStyle w:val="ListBullet"/>
            </w:pPr>
            <w:r w:rsidRPr="00736C02">
              <w:t>assessment of compatibility</w:t>
            </w:r>
          </w:p>
          <w:p w:rsidR="00000000" w:rsidRPr="00736C02" w:rsidP="00736C02">
            <w:pPr>
              <w:pStyle w:val="ListBullet"/>
            </w:pPr>
            <w:r w:rsidRPr="00736C02">
              <w:t>calculation of net explosive</w:t>
            </w:r>
            <w:r w:rsidRPr="00736C02">
              <w:t xml:space="preserve"> quantity</w:t>
            </w:r>
          </w:p>
          <w:p w:rsidR="00000000" w:rsidRPr="00736C02" w:rsidP="00736C02">
            <w:pPr>
              <w:pStyle w:val="ListBullet"/>
            </w:pPr>
            <w:r w:rsidRPr="00736C02">
              <w:t>characteristics and limitations of purging equipment</w:t>
            </w:r>
          </w:p>
          <w:p w:rsidR="00000000" w:rsidRPr="00736C02" w:rsidP="00736C02">
            <w:pPr>
              <w:pStyle w:val="ListBullet"/>
            </w:pPr>
            <w:r w:rsidRPr="00736C02">
              <w:t>effects of environmental conditions</w:t>
            </w:r>
          </w:p>
          <w:p w:rsidR="00000000" w:rsidRPr="00736C02" w:rsidP="00736C02">
            <w:pPr>
              <w:pStyle w:val="ListBullet"/>
            </w:pPr>
            <w:r w:rsidRPr="00736C02">
              <w:t>operability and compatibility of purging equipment</w:t>
            </w:r>
          </w:p>
          <w:p w:rsidR="00000000" w:rsidRPr="00736C02" w:rsidP="00736C02">
            <w:pPr>
              <w:pStyle w:val="ListBullet"/>
            </w:pPr>
            <w:r w:rsidRPr="00736C02">
              <w:t>organisational documentation requirements</w:t>
            </w:r>
          </w:p>
          <w:p w:rsidR="00000000" w:rsidRPr="00736C02" w:rsidP="00736C02">
            <w:pPr>
              <w:pStyle w:val="ListBullet"/>
            </w:pPr>
            <w:r w:rsidRPr="00736C02">
              <w:t>organisational safety information sources</w:t>
            </w:r>
          </w:p>
          <w:p w:rsidR="00000000" w:rsidRPr="00736C02" w:rsidP="00736C02">
            <w:pPr>
              <w:pStyle w:val="ListBullet"/>
            </w:pPr>
            <w:r w:rsidRPr="00736C02">
              <w:t>relevant legislation, regulatory codes, organisational safety policies, procedures and structures</w:t>
            </w:r>
          </w:p>
        </w:tc>
      </w:tr>
    </w:tbl>
    <w:p w:rsidR="00AF03C7" w:rsidP="00736C02">
      <w:pPr>
        <w:pStyle w:val="NoPaddingFontSize1"/>
      </w:pPr>
    </w:p>
    <w:p w:rsidR="00AF03C7" w:rsidP="00736C02">
      <w:pPr>
        <w:pStyle w:val="NoPaddingFontSize1"/>
      </w:pPr>
    </w:p>
    <w:p w:rsidR="00000000" w:rsidRPr="00736C02" w:rsidP="00736C02">
      <w:pPr>
        <w:pStyle w:val="Heading1"/>
      </w:pPr>
      <w:bookmarkStart w:id="14" w:name="O_1098836"/>
      <w:bookmarkEnd w:id="14"/>
      <w:r w:rsidRPr="00736C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6C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C02" w:rsidP="00736C02">
            <w:pPr>
              <w:pStyle w:val="BodyText"/>
            </w:pPr>
            <w:r w:rsidRPr="00736C02">
              <w:t>Assessors must hold credentials specified within the Standards for Registered Training Organisations current at th</w:t>
            </w:r>
            <w:r w:rsidRPr="00736C02">
              <w:t>e time of assessment.</w:t>
            </w:r>
          </w:p>
          <w:p w:rsidR="00000000" w:rsidRPr="00736C02" w:rsidP="00736C02">
            <w:pPr>
              <w:pStyle w:val="BodyText"/>
            </w:pPr>
            <w:r w:rsidRPr="00736C0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36C02" w:rsidP="00736C02">
            <w:pPr>
              <w:pStyle w:val="BodyText"/>
            </w:pPr>
            <w:r w:rsidRPr="00736C02">
              <w:t>Assessment must occur in</w:t>
            </w:r>
            <w:r w:rsidRPr="00736C02">
              <w:t xml:space="preserve"> workplace operational situations. Where this is not appropriate, assessment must occur in simulated workplace operational situations that reflect workplace conditions.</w:t>
            </w:r>
          </w:p>
          <w:p w:rsidR="00000000" w:rsidRPr="00736C02" w:rsidP="00736C02">
            <w:pPr>
              <w:pStyle w:val="BodyText"/>
            </w:pPr>
            <w:r w:rsidRPr="00736C02">
              <w:t>Assessment processes and techniques must be appropriate to the language, literacy and n</w:t>
            </w:r>
            <w:r w:rsidRPr="00736C02">
              <w:t>umeracy requirements of the work being performed and the needs of the candidate.</w:t>
            </w:r>
          </w:p>
          <w:p w:rsidR="00000000" w:rsidRPr="00736C02" w:rsidP="00736C02">
            <w:pPr>
              <w:pStyle w:val="BodyText"/>
            </w:pPr>
            <w:r w:rsidRPr="00736C02">
              <w:t>Resources for assessment must include access to:</w:t>
            </w:r>
          </w:p>
          <w:p w:rsidR="00000000" w:rsidRPr="00736C02" w:rsidP="00736C02">
            <w:pPr>
              <w:pStyle w:val="ListBullet"/>
            </w:pPr>
            <w:r w:rsidRPr="00736C02">
              <w:tab/>
              <w:t xml:space="preserve">a range of relevant exercises, case studies and/or simulations </w:t>
            </w:r>
          </w:p>
          <w:p w:rsidR="00000000" w:rsidRPr="00736C02" w:rsidP="00736C02">
            <w:pPr>
              <w:pStyle w:val="ListBullet"/>
            </w:pPr>
            <w:r w:rsidRPr="00736C02">
              <w:tab/>
              <w:t xml:space="preserve">acceptable means of simulation assessment </w:t>
            </w:r>
          </w:p>
          <w:p w:rsidR="00000000" w:rsidRPr="00736C02" w:rsidP="00736C02">
            <w:pPr>
              <w:pStyle w:val="ListBullet"/>
            </w:pPr>
            <w:r w:rsidRPr="00736C02">
              <w:tab/>
            </w:r>
            <w:r w:rsidRPr="00736C02">
              <w:t xml:space="preserve">applicable documentation, including workplace procedures, regulations, codes of practice and operation manuals </w:t>
            </w:r>
          </w:p>
          <w:p w:rsidR="00000000" w:rsidRPr="00736C02" w:rsidP="00736C02">
            <w:pPr>
              <w:pStyle w:val="ListBullet"/>
            </w:pPr>
            <w:r w:rsidRPr="00736C02">
              <w:tab/>
              <w:t>relevant materials, tools, equipment and PPE currently used in industry.</w:t>
            </w:r>
          </w:p>
        </w:tc>
      </w:tr>
    </w:tbl>
    <w:p w:rsidR="00AF03C7" w:rsidP="00736C02">
      <w:pPr>
        <w:pStyle w:val="NoPaddingFontSize1"/>
      </w:pPr>
    </w:p>
    <w:p w:rsidR="00AF03C7" w:rsidP="00736C02">
      <w:pPr>
        <w:pStyle w:val="NoPaddingFontSize1"/>
      </w:pPr>
    </w:p>
    <w:p w:rsidR="00000000" w:rsidRPr="00736C02" w:rsidP="00736C02">
      <w:pPr>
        <w:pStyle w:val="Heading1"/>
      </w:pPr>
      <w:bookmarkStart w:id="15" w:name="O_1098851"/>
      <w:bookmarkEnd w:id="15"/>
      <w:r w:rsidRPr="00736C02">
        <w:t>Links</w:t>
      </w:r>
    </w:p>
    <w:p w:rsidR="00000000" w:rsidRPr="00736C02" w:rsidP="00AF03C7">
      <w:pPr>
        <w:pStyle w:val="BodyText"/>
      </w:pPr>
      <w:r w:rsidRPr="00736C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00FD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36C02" w:rsidP="00736C02"/>
    <w:sectPr w:rsidSect="00736C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02" w:rsidRPr="00AF03C7" w:rsidP="00AF03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3C7" w:rsidP="00736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03C7" w:rsidP="00736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F03C7" w:rsidP="00736C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02" w:rsidP="00736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03C7">
      <w:t>Approved</w:t>
    </w:r>
    <w:r w:rsidR="00AF03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03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03C7">
      <w:rPr>
        <w:noProof/>
      </w:rPr>
      <w:t>4</w:t>
    </w:r>
    <w:r>
      <w:rPr>
        <w:noProof/>
      </w:rPr>
      <w:fldChar w:fldCharType="end"/>
    </w:r>
  </w:p>
  <w:p w:rsidR="00736C02" w:rsidP="00736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03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03C7">
      <w:t>Public Skills Australia</w:t>
    </w:r>
    <w:r w:rsidR="00AF03C7">
      <w:fldChar w:fldCharType="end"/>
    </w:r>
  </w:p>
  <w:p w:rsidR="00736C02" w:rsidP="00736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3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C02" w:rsidRPr="00AF03C7" w:rsidP="00AF03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3C7" w:rsidRPr="002D2AF8" w:rsidP="00736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DEFEXO509 Perform purging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03C7" w:rsidP="00736C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02" w:rsidRPr="002D2AF8" w:rsidP="00736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03C7">
      <w:t>DEFEXO509 Perform purging</w:t>
    </w:r>
    <w:r w:rsidR="00AF03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03C7">
      <w:rPr>
        <w:noProof/>
      </w:rPr>
      <w:t>1 March 2025</w:t>
    </w:r>
    <w:r>
      <w:fldChar w:fldCharType="end"/>
    </w:r>
  </w:p>
  <w:p w:rsidR="00736C02" w:rsidP="00736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585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C64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38F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C02"/>
  </w:style>
  <w:style w:type="character" w:customStyle="1" w:styleId="Heading1Char">
    <w:name w:val="Heading 1 Char"/>
    <w:basedOn w:val="DefaultParagraphFont"/>
    <w:link w:val="Heading1"/>
    <w:rsid w:val="00736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C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C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C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C02"/>
    <w:rPr>
      <w:b/>
      <w:spacing w:val="0"/>
    </w:rPr>
  </w:style>
  <w:style w:type="paragraph" w:styleId="ListBullet2">
    <w:name w:val="List Bullet 2"/>
    <w:basedOn w:val="List2"/>
    <w:rsid w:val="00736C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6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6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C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C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C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C02"/>
    <w:rPr>
      <w:i/>
    </w:rPr>
  </w:style>
  <w:style w:type="paragraph" w:styleId="Caption">
    <w:name w:val="caption"/>
    <w:basedOn w:val="BodyText"/>
    <w:next w:val="Normal"/>
    <w:qFormat/>
    <w:rsid w:val="00736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C02"/>
  </w:style>
  <w:style w:type="paragraph" w:styleId="TableofFigures">
    <w:name w:val="table of figures"/>
    <w:basedOn w:val="Normal"/>
    <w:next w:val="Normal"/>
    <w:semiHidden/>
    <w:rsid w:val="00736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C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6C02"/>
    <w:rPr>
      <w:rFonts w:ascii="Wingdings" w:hAnsi="Wingdings"/>
    </w:rPr>
  </w:style>
  <w:style w:type="paragraph" w:customStyle="1" w:styleId="TableHeading">
    <w:name w:val="Table Heading"/>
    <w:basedOn w:val="HeadingBase"/>
    <w:rsid w:val="00736C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C02"/>
    <w:rPr>
      <w:color w:val="0033CC"/>
      <w:u w:val="none"/>
    </w:rPr>
  </w:style>
  <w:style w:type="paragraph" w:customStyle="1" w:styleId="BodyTextRight">
    <w:name w:val="Body Text Right"/>
    <w:basedOn w:val="BodyText"/>
    <w:rsid w:val="00736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C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C02"/>
    <w:rPr>
      <w:sz w:val="32"/>
    </w:rPr>
  </w:style>
  <w:style w:type="paragraph" w:customStyle="1" w:styleId="HeadingProcedure">
    <w:name w:val="Heading Procedure"/>
    <w:basedOn w:val="HeadingBase"/>
    <w:next w:val="Normal"/>
    <w:rsid w:val="00736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C02"/>
    <w:pPr>
      <w:spacing w:before="60" w:after="60"/>
    </w:pPr>
  </w:style>
  <w:style w:type="paragraph" w:styleId="ListContinue">
    <w:name w:val="List Continue"/>
    <w:basedOn w:val="List"/>
    <w:rsid w:val="00736C02"/>
    <w:pPr>
      <w:ind w:firstLine="0"/>
    </w:pPr>
  </w:style>
  <w:style w:type="paragraph" w:customStyle="1" w:styleId="ListNote">
    <w:name w:val="List Note"/>
    <w:basedOn w:val="List"/>
    <w:rsid w:val="00736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C02"/>
    <w:rPr>
      <w:rFonts w:ascii="Courier New" w:hAnsi="Courier New"/>
    </w:rPr>
  </w:style>
  <w:style w:type="paragraph" w:customStyle="1" w:styleId="NoteBullet">
    <w:name w:val="Note Bullet"/>
    <w:basedOn w:val="Note"/>
    <w:rsid w:val="00736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C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6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C02"/>
    <w:rPr>
      <w:b/>
      <w:smallCaps/>
    </w:rPr>
  </w:style>
  <w:style w:type="paragraph" w:customStyle="1" w:styleId="TableListNumber">
    <w:name w:val="Table List Number"/>
    <w:basedOn w:val="ListNumber"/>
    <w:rsid w:val="00736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C02"/>
    <w:pPr>
      <w:numPr>
        <w:numId w:val="9"/>
      </w:numPr>
    </w:pPr>
  </w:style>
  <w:style w:type="paragraph" w:customStyle="1" w:styleId="ListAlpha2">
    <w:name w:val="List Alpha 2"/>
    <w:basedOn w:val="List2"/>
    <w:rsid w:val="00736C02"/>
    <w:pPr>
      <w:numPr>
        <w:numId w:val="8"/>
      </w:numPr>
    </w:pPr>
  </w:style>
  <w:style w:type="paragraph" w:styleId="List2">
    <w:name w:val="List 2"/>
    <w:basedOn w:val="BodyText"/>
    <w:rsid w:val="00736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C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C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6C02"/>
    <w:pPr>
      <w:numPr>
        <w:numId w:val="4"/>
      </w:numPr>
    </w:pPr>
  </w:style>
  <w:style w:type="paragraph" w:styleId="ListContinue2">
    <w:name w:val="List Continue 2"/>
    <w:basedOn w:val="List2"/>
    <w:rsid w:val="00736C02"/>
    <w:pPr>
      <w:ind w:firstLine="0"/>
    </w:pPr>
  </w:style>
  <w:style w:type="paragraph" w:styleId="ListContinue3">
    <w:name w:val="List Continue 3"/>
    <w:basedOn w:val="List3"/>
    <w:rsid w:val="00736C02"/>
    <w:pPr>
      <w:ind w:left="1021" w:firstLine="0"/>
    </w:pPr>
  </w:style>
  <w:style w:type="paragraph" w:styleId="ListContinue4">
    <w:name w:val="List Continue 4"/>
    <w:basedOn w:val="List4"/>
    <w:rsid w:val="00736C02"/>
    <w:pPr>
      <w:ind w:firstLine="0"/>
    </w:pPr>
  </w:style>
  <w:style w:type="paragraph" w:styleId="ListContinue5">
    <w:name w:val="List Continue 5"/>
    <w:basedOn w:val="List5"/>
    <w:rsid w:val="00736C02"/>
    <w:pPr>
      <w:ind w:firstLine="0"/>
    </w:pPr>
  </w:style>
  <w:style w:type="paragraph" w:styleId="ListNumber3">
    <w:name w:val="List Number 3"/>
    <w:basedOn w:val="List3"/>
    <w:rsid w:val="00736C02"/>
    <w:pPr>
      <w:numPr>
        <w:numId w:val="5"/>
      </w:numPr>
    </w:pPr>
  </w:style>
  <w:style w:type="paragraph" w:styleId="ListNumber4">
    <w:name w:val="List Number 4"/>
    <w:basedOn w:val="List4"/>
    <w:rsid w:val="00736C02"/>
    <w:pPr>
      <w:numPr>
        <w:numId w:val="6"/>
      </w:numPr>
    </w:pPr>
  </w:style>
  <w:style w:type="paragraph" w:styleId="ListNumber5">
    <w:name w:val="List Number 5"/>
    <w:basedOn w:val="List5"/>
    <w:rsid w:val="00736C02"/>
    <w:pPr>
      <w:numPr>
        <w:numId w:val="7"/>
      </w:numPr>
    </w:pPr>
  </w:style>
  <w:style w:type="paragraph" w:styleId="BlockText">
    <w:name w:val="Block Text"/>
    <w:basedOn w:val="Normal"/>
    <w:rsid w:val="00736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C02"/>
    <w:rPr>
      <w:sz w:val="16"/>
      <w:vertAlign w:val="superscript"/>
    </w:rPr>
  </w:style>
  <w:style w:type="character" w:customStyle="1" w:styleId="Symbols">
    <w:name w:val="Symbols"/>
    <w:basedOn w:val="DefaultParagraphFont"/>
    <w:rsid w:val="00736C02"/>
    <w:rPr>
      <w:rFonts w:ascii="Symbol" w:hAnsi="Symbol"/>
    </w:rPr>
  </w:style>
  <w:style w:type="character" w:customStyle="1" w:styleId="MenuOptions">
    <w:name w:val="Menu Options"/>
    <w:basedOn w:val="DefaultParagraphFont"/>
    <w:rsid w:val="00736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C02"/>
    <w:rPr>
      <w:b/>
    </w:rPr>
  </w:style>
  <w:style w:type="character" w:customStyle="1" w:styleId="Underlined">
    <w:name w:val="Underlined"/>
    <w:basedOn w:val="DefaultParagraphFont"/>
    <w:rsid w:val="00736C02"/>
    <w:rPr>
      <w:u w:val="single"/>
    </w:rPr>
  </w:style>
  <w:style w:type="paragraph" w:customStyle="1" w:styleId="TableBodyTextRight">
    <w:name w:val="Table Body Text Right"/>
    <w:basedOn w:val="TableBodyText"/>
    <w:rsid w:val="00736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C02"/>
    <w:rPr>
      <w:sz w:val="18"/>
    </w:rPr>
  </w:style>
  <w:style w:type="paragraph" w:customStyle="1" w:styleId="BodySmallRight">
    <w:name w:val="Body Small Right"/>
    <w:basedOn w:val="BodyTextRight"/>
    <w:rsid w:val="00736C02"/>
    <w:rPr>
      <w:sz w:val="18"/>
      <w:szCs w:val="18"/>
    </w:rPr>
  </w:style>
  <w:style w:type="paragraph" w:customStyle="1" w:styleId="MarginEdition">
    <w:name w:val="Margin Edition"/>
    <w:basedOn w:val="MarginNote"/>
    <w:rsid w:val="00736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C02"/>
    <w:rPr>
      <w:sz w:val="2"/>
      <w:szCs w:val="2"/>
    </w:rPr>
  </w:style>
  <w:style w:type="character" w:customStyle="1" w:styleId="Small">
    <w:name w:val="Small"/>
    <w:basedOn w:val="DefaultParagraphFont"/>
    <w:rsid w:val="00736C02"/>
    <w:rPr>
      <w:sz w:val="16"/>
    </w:rPr>
  </w:style>
  <w:style w:type="paragraph" w:customStyle="1" w:styleId="WideTable">
    <w:name w:val="Wide Table"/>
    <w:basedOn w:val="Normal"/>
    <w:rsid w:val="00736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C02"/>
  </w:style>
  <w:style w:type="paragraph" w:styleId="Quote">
    <w:name w:val="Quote"/>
    <w:basedOn w:val="Heading1"/>
    <w:link w:val="QuoteChar"/>
    <w:qFormat/>
    <w:rsid w:val="00736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C02"/>
    <w:pPr>
      <w:pageBreakBefore/>
    </w:pPr>
  </w:style>
  <w:style w:type="paragraph" w:customStyle="1" w:styleId="Border">
    <w:name w:val="Border"/>
    <w:basedOn w:val="Normal"/>
    <w:qFormat/>
    <w:rsid w:val="00736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C02"/>
    <w:rPr>
      <w:u w:val="single"/>
    </w:rPr>
  </w:style>
  <w:style w:type="character" w:customStyle="1" w:styleId="BoldandItalics">
    <w:name w:val="Bold and Italics"/>
    <w:qFormat/>
    <w:rsid w:val="00736C02"/>
    <w:rPr>
      <w:b/>
      <w:i/>
      <w:u w:val="none"/>
    </w:rPr>
  </w:style>
  <w:style w:type="paragraph" w:styleId="BalloonText">
    <w:name w:val="Balloon Text"/>
    <w:basedOn w:val="Normal"/>
    <w:link w:val="BalloonTextChar"/>
    <w:rsid w:val="00736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C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C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C02"/>
    <w:pPr>
      <w:spacing w:before="0" w:after="0"/>
    </w:pPr>
  </w:style>
  <w:style w:type="paragraph" w:customStyle="1" w:styleId="BodyTextBold">
    <w:name w:val="Body Text Bold"/>
    <w:basedOn w:val="BodyText"/>
    <w:qFormat/>
    <w:rsid w:val="00736C02"/>
    <w:rPr>
      <w:b/>
    </w:rPr>
  </w:style>
  <w:style w:type="character" w:styleId="Hyperlink">
    <w:name w:val="Hyperlink"/>
    <w:basedOn w:val="DefaultParagraphFont"/>
    <w:uiPriority w:val="99"/>
    <w:unhideWhenUsed/>
    <w:rsid w:val="00AF03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836</Words>
  <Characters>5720</Characters>
  <Application>Microsoft Office Word</Application>
  <DocSecurity>0</DocSecurity>
  <Lines>211</Lines>
  <Paragraphs>126</Paragraphs>
  <ScaleCrop>false</ScaleCrop>
  <Company>Author-it Software Corporation Ltd.</Company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DEFEXO509 Perform purging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2025-03-01T12:35:00Z</dcterms:modified>
</cp:coreProperties>
</file>