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D19" w:rsidP="001D3D19">
      <w:pPr>
        <w:pStyle w:val="Title"/>
      </w:pPr>
      <w:r>
        <w:fldChar w:fldCharType="begin"/>
      </w:r>
      <w:r>
        <w:instrText xml:space="preserve"> TITLE   \* MERGEFORMAT </w:instrText>
      </w:r>
      <w:r>
        <w:fldChar w:fldCharType="separate"/>
      </w:r>
      <w:r>
        <w:t>DEFEXO210 Manage explosive ordnance engineering and logistics processes</w:t>
      </w:r>
      <w:r>
        <w:fldChar w:fldCharType="end"/>
      </w:r>
    </w:p>
    <w:p w:rsidR="001D3D19" w:rsidP="001D3D19">
      <w:pPr>
        <w:pStyle w:val="Version"/>
        <w:sectPr w:rsidSect="007015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150C" w:rsidP="0070150C">
      <w:pPr>
        <w:pStyle w:val="SuperHeading"/>
      </w:pPr>
      <w:r w:rsidRPr="0070150C">
        <w:t>DEFEXO210 Manage explosive ordnance engineering and logistics processes</w:t>
      </w:r>
    </w:p>
    <w:p w:rsidR="00000000" w:rsidRPr="0070150C" w:rsidP="0070150C">
      <w:pPr>
        <w:pStyle w:val="Heading1"/>
      </w:pPr>
      <w:bookmarkStart w:id="1" w:name="O_1098813"/>
      <w:bookmarkEnd w:id="1"/>
      <w:r w:rsidRPr="0070150C">
        <w:t>Modification History</w:t>
      </w:r>
    </w:p>
    <w:tbl>
      <w:tblPr>
        <w:tblW w:w="9497" w:type="dxa"/>
        <w:tblLayout w:type="fixed"/>
        <w:tblCellMar>
          <w:left w:w="62" w:type="dxa"/>
          <w:right w:w="62" w:type="dxa"/>
        </w:tblCellMar>
        <w:tblLook w:val="0000"/>
      </w:tblPr>
      <w:tblGrid>
        <w:gridCol w:w="9497"/>
      </w:tblGrid>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Release 2. Modifications made to Assessment Conditions.</w:t>
            </w:r>
          </w:p>
        </w:tc>
      </w:tr>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Release 1. This is the first release of this unit of competency in the DEF Defence Training Package.</w:t>
            </w:r>
          </w:p>
        </w:tc>
      </w:tr>
    </w:tbl>
    <w:p w:rsidR="001D3D19" w:rsidP="0070150C">
      <w:pPr>
        <w:pStyle w:val="NoPaddingFontSize1"/>
      </w:pPr>
    </w:p>
    <w:p w:rsidR="001D3D19" w:rsidP="0070150C">
      <w:pPr>
        <w:pStyle w:val="NoPaddingFontSize1"/>
      </w:pPr>
    </w:p>
    <w:p w:rsidR="00000000" w:rsidRPr="0070150C" w:rsidP="0070150C">
      <w:pPr>
        <w:pStyle w:val="Heading1"/>
      </w:pPr>
      <w:bookmarkStart w:id="2" w:name="O_1098812"/>
      <w:bookmarkEnd w:id="2"/>
      <w:r w:rsidRPr="0070150C">
        <w:t>Application</w:t>
      </w:r>
    </w:p>
    <w:tbl>
      <w:tblPr>
        <w:tblW w:w="9497" w:type="dxa"/>
        <w:tblLayout w:type="fixed"/>
        <w:tblCellMar>
          <w:left w:w="62" w:type="dxa"/>
          <w:right w:w="62" w:type="dxa"/>
        </w:tblCellMar>
        <w:tblLook w:val="0000"/>
      </w:tblPr>
      <w:tblGrid>
        <w:gridCol w:w="9497"/>
      </w:tblGrid>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This unit specifies the skills and knowledge required to manage explosive ordnance engineering and logistics processes.</w:t>
            </w:r>
          </w:p>
          <w:p w:rsidR="00000000" w:rsidRPr="0070150C" w:rsidP="0070150C">
            <w:pPr>
              <w:pStyle w:val="BodyText"/>
            </w:pPr>
            <w:r w:rsidRPr="0070150C">
              <w:t>I</w:t>
            </w:r>
            <w:r w:rsidRPr="0070150C">
              <w:t>t includes identifying and planning explosive ordnance engineering and logistics processes, and feasibility assessments. It also includes managing and concluding engineering and logistics processes.</w:t>
            </w:r>
          </w:p>
          <w:p w:rsidR="00000000" w:rsidRPr="0070150C" w:rsidP="0070150C">
            <w:pPr>
              <w:pStyle w:val="BodyText"/>
            </w:pPr>
            <w:r w:rsidRPr="0070150C">
              <w:t>This unit applies to persons who are required to manage e</w:t>
            </w:r>
            <w:r w:rsidRPr="0070150C">
              <w:t>xplosive ordnance engineering and logistics processes.</w:t>
            </w:r>
          </w:p>
          <w:p w:rsidR="00000000" w:rsidRPr="0070150C" w:rsidP="0070150C">
            <w:pPr>
              <w:pStyle w:val="BodyText"/>
            </w:pPr>
            <w:r w:rsidRPr="0070150C">
              <w:t>A manager of explosive ordnance processes will have some autonomy of action, may delegate authority to subordinates and is capable of independent decision making, requiring no supervision.</w:t>
            </w:r>
          </w:p>
          <w:p w:rsidR="00000000" w:rsidRPr="0070150C" w:rsidP="0070150C">
            <w:pPr>
              <w:pStyle w:val="BodyText"/>
            </w:pPr>
            <w:r w:rsidRPr="0070150C">
              <w:t>The manageme</w:t>
            </w:r>
            <w:r w:rsidRPr="0070150C">
              <w:t>nt of explosive ordnance processes is primarily conducted in installations involved in the storage, distribution and maintenance of explosive ordnance, however it may be performed in research and development establishments, and proof and experimental estab</w:t>
            </w:r>
            <w:r w:rsidRPr="0070150C">
              <w:t>lishments.</w:t>
            </w:r>
          </w:p>
          <w:p w:rsidR="00000000" w:rsidRPr="0070150C" w:rsidP="0070150C">
            <w:pPr>
              <w:pStyle w:val="BodyText"/>
            </w:pPr>
            <w:r w:rsidRPr="0070150C">
              <w:t>The skills and knowledge described in this unit must be applied within the legislative, regulatory and policy environment in which they are carried out. Organisational policies and procedures must be consulted and adhered to.</w:t>
            </w:r>
          </w:p>
          <w:p w:rsidR="00000000" w:rsidRPr="0070150C" w:rsidP="0070150C">
            <w:pPr>
              <w:pStyle w:val="BodyText"/>
            </w:pPr>
            <w:r w:rsidRPr="0070150C">
              <w:t>No licensing, legis</w:t>
            </w:r>
            <w:r w:rsidRPr="0070150C">
              <w:t>lative or certification requirements apply to this unit at the time of publication.</w:t>
            </w:r>
          </w:p>
        </w:tc>
      </w:tr>
    </w:tbl>
    <w:p w:rsidR="001D3D19" w:rsidP="0070150C">
      <w:pPr>
        <w:pStyle w:val="NoPaddingFontSize1"/>
      </w:pPr>
    </w:p>
    <w:p w:rsidR="001D3D19" w:rsidP="0070150C">
      <w:pPr>
        <w:pStyle w:val="NoPaddingFontSize1"/>
      </w:pPr>
    </w:p>
    <w:p w:rsidR="00000000" w:rsidRPr="0070150C" w:rsidP="0070150C">
      <w:pPr>
        <w:pStyle w:val="Heading1"/>
      </w:pPr>
      <w:bookmarkStart w:id="3" w:name="O_1098811"/>
      <w:bookmarkEnd w:id="3"/>
      <w:r w:rsidRPr="0070150C">
        <w:t>Pre-requisite Unit</w:t>
      </w:r>
    </w:p>
    <w:tbl>
      <w:tblPr>
        <w:tblW w:w="9497" w:type="dxa"/>
        <w:tblLayout w:type="fixed"/>
        <w:tblCellMar>
          <w:left w:w="62" w:type="dxa"/>
          <w:right w:w="62" w:type="dxa"/>
        </w:tblCellMar>
        <w:tblLook w:val="0000"/>
      </w:tblPr>
      <w:tblGrid>
        <w:gridCol w:w="9497"/>
      </w:tblGrid>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Not applicable</w:t>
            </w:r>
          </w:p>
        </w:tc>
      </w:tr>
    </w:tbl>
    <w:p w:rsidR="00000000" w:rsidRPr="0070150C" w:rsidP="0070150C">
      <w:pPr>
        <w:pStyle w:val="NoPaddingFontSize1"/>
      </w:pPr>
    </w:p>
    <w:p w:rsidR="00000000" w:rsidRPr="0070150C" w:rsidP="0070150C">
      <w:pPr>
        <w:pStyle w:val="AllowPageBreak"/>
      </w:pPr>
    </w:p>
    <w:p w:rsidR="00000000" w:rsidRPr="0070150C" w:rsidP="0070150C">
      <w:pPr>
        <w:pStyle w:val="Heading1"/>
      </w:pPr>
      <w:bookmarkStart w:id="4" w:name="O_1098810"/>
      <w:bookmarkEnd w:id="4"/>
      <w:r w:rsidRPr="0070150C">
        <w:t>Competency Field</w:t>
      </w:r>
    </w:p>
    <w:tbl>
      <w:tblPr>
        <w:tblW w:w="9497" w:type="dxa"/>
        <w:tblLayout w:type="fixed"/>
        <w:tblCellMar>
          <w:left w:w="62" w:type="dxa"/>
          <w:right w:w="62" w:type="dxa"/>
        </w:tblCellMar>
        <w:tblLook w:val="0000"/>
      </w:tblPr>
      <w:tblGrid>
        <w:gridCol w:w="9497"/>
      </w:tblGrid>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Explosive Ordnance</w:t>
            </w:r>
          </w:p>
        </w:tc>
      </w:tr>
    </w:tbl>
    <w:p w:rsidR="00000000" w:rsidRPr="0070150C" w:rsidP="0070150C">
      <w:pPr>
        <w:pStyle w:val="NoPaddingFontSize1"/>
      </w:pPr>
    </w:p>
    <w:p w:rsidR="00000000" w:rsidRPr="0070150C" w:rsidP="0070150C">
      <w:pPr>
        <w:pStyle w:val="AllowPageBreak"/>
      </w:pPr>
    </w:p>
    <w:p w:rsidR="00000000" w:rsidRPr="0070150C" w:rsidP="0070150C">
      <w:pPr>
        <w:pStyle w:val="Heading1"/>
      </w:pPr>
      <w:bookmarkStart w:id="5" w:name="O_1098809"/>
      <w:bookmarkEnd w:id="5"/>
      <w:r w:rsidRPr="0070150C">
        <w:t>Unit Sector</w:t>
      </w:r>
    </w:p>
    <w:tbl>
      <w:tblPr>
        <w:tblW w:w="9497" w:type="dxa"/>
        <w:tblLayout w:type="fixed"/>
        <w:tblCellMar>
          <w:left w:w="62" w:type="dxa"/>
          <w:right w:w="62" w:type="dxa"/>
        </w:tblCellMar>
        <w:tblLook w:val="0000"/>
      </w:tblPr>
      <w:tblGrid>
        <w:gridCol w:w="9497"/>
      </w:tblGrid>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Not applicable.</w:t>
            </w:r>
          </w:p>
        </w:tc>
      </w:tr>
    </w:tbl>
    <w:p w:rsidR="00000000" w:rsidRPr="0070150C" w:rsidP="0070150C">
      <w:pPr>
        <w:pStyle w:val="NoPaddingFontSize1"/>
      </w:pPr>
    </w:p>
    <w:p w:rsidR="00000000" w:rsidRPr="0070150C" w:rsidP="0070150C">
      <w:pPr>
        <w:pStyle w:val="AllowPageBreak"/>
      </w:pPr>
    </w:p>
    <w:p w:rsidR="00000000" w:rsidRPr="0070150C" w:rsidP="0070150C">
      <w:pPr>
        <w:pStyle w:val="Heading1"/>
      </w:pPr>
      <w:bookmarkStart w:id="6" w:name="O_1098808"/>
      <w:bookmarkEnd w:id="6"/>
      <w:r w:rsidRPr="0070150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0150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PERFORMANCE CRITERIA</w:t>
            </w:r>
          </w:p>
        </w:tc>
      </w:tr>
      <w:tr w:rsidTr="0070150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Performance criteria describe the performance needed to demonstrate achievement of the element.</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rPr>
                <w:rStyle w:val="SpecialBold"/>
              </w:rPr>
              <w:t>Identify explosive ordnance processes and feasibility assessment</w:t>
            </w: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Identify storage, distribution and maintenance processes to be performed and confirm with relevant personnel</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Identify organisational policies, procedures and issues of concern/shor</w:t>
            </w:r>
            <w:r w:rsidRPr="0070150C">
              <w:t>tfall applying to relevant processes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Determine resources and any special requirement/s for the performance and conduct of explosive ordnance engineering and logistics processes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Assess feasibility of explosive ordnance engineering and logistics processes to be undertaken and identify offsets/compromises as required, in accordance with organisational procedures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rPr>
                <w:rStyle w:val="SpecialBold"/>
              </w:rPr>
              <w:t>Plan to conduct explosive ordnance processes</w:t>
            </w: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Plan to conduct sto</w:t>
            </w:r>
            <w:r w:rsidRPr="0070150C">
              <w:t>rage, distribution and maintenance processes and identify resource requirement/s in accordance with operational procedures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Identify availability and suitability of resources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Adjust plans and schedules to accord with resource availability and seek authorisation to progress in accordance with organisational policies and procedures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Identify relevant financial resources and seek authorisation to proceed</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Confirm capit</w:t>
            </w:r>
            <w:r w:rsidRPr="0070150C">
              <w:t>al requirements and program acquisition in accordance with explosive ordnance engineering and logistics plan</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Source production and support materials and plan to procure in accordance with production plan</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Confirm staffing requirements, and dev</w:t>
            </w:r>
            <w:r w:rsidRPr="0070150C">
              <w:t xml:space="preserve">elop and implement recruiting plan to provide technical and </w:t>
            </w:r>
            <w:r w:rsidRPr="0070150C">
              <w:t>administrative staff in accordance with organisational policies and procedures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Identify and implement relevant legislative requirements including work health and safety (WHS) and environmental matters, during the planning and production processes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Finalise, document and authorise development and production plans in accordance w</w:t>
            </w:r>
            <w:r w:rsidRPr="0070150C">
              <w:t>ith organisational policies and procedures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rPr>
                <w:rStyle w:val="SpecialBold"/>
              </w:rPr>
              <w:t>Manage explosive ordnance processes</w:t>
            </w: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Inform explosive ordnance process supervisors about production requirements, resources and delegated authority</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Manage explosive ordnance processes to ensure effici</w:t>
            </w:r>
            <w:r w:rsidRPr="0070150C">
              <w:t>ency of their performance, and to achieve quality of production and objectives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Monitor production and adjust plans to reflect requirements in quality, quantity and efficiency</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Coordinate explosive ordnance processes and reallocate/adjust resources, as required</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Conduct liaison with supervisors, suppliers, clients and superiors as required, and address feedback and performance</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Action reported defects/problems in acco</w:t>
            </w:r>
            <w:r w:rsidRPr="0070150C">
              <w:t>rdance with organisational procedures and instructions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Determine and either provide or request support requirements in accordance with organisational procedures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Provide reports in accordance with operational guidelines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rPr>
                <w:rStyle w:val="SpecialBold"/>
              </w:rPr>
              <w:t>Conclude processes</w:t>
            </w: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Process production in accordance with organisational instructions and procedures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Debrief supervisors on the performance of their process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Relocate resources in accordance with organisational instructions and procedures</w:t>
            </w:r>
          </w:p>
        </w:tc>
      </w:tr>
      <w:tr w:rsidTr="007015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5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Document explosive ordnance processes to meet organisational requirements</w:t>
            </w:r>
          </w:p>
        </w:tc>
      </w:tr>
    </w:tbl>
    <w:p w:rsidR="00000000" w:rsidRPr="0070150C" w:rsidP="0070150C">
      <w:pPr>
        <w:pStyle w:val="NoPaddingFontSize1"/>
      </w:pPr>
    </w:p>
    <w:p w:rsidR="00000000" w:rsidRPr="0070150C" w:rsidP="0070150C">
      <w:pPr>
        <w:pStyle w:val="AllowPageBreak"/>
      </w:pPr>
    </w:p>
    <w:p w:rsidR="00000000" w:rsidRPr="0070150C" w:rsidP="0070150C">
      <w:pPr>
        <w:pStyle w:val="Heading1"/>
      </w:pPr>
      <w:bookmarkStart w:id="7" w:name="O_1098807"/>
      <w:bookmarkEnd w:id="7"/>
      <w:r w:rsidRPr="0070150C">
        <w:t>Foundation Skills</w:t>
      </w:r>
    </w:p>
    <w:tbl>
      <w:tblPr>
        <w:tblW w:w="9497" w:type="dxa"/>
        <w:tblLayout w:type="fixed"/>
        <w:tblCellMar>
          <w:left w:w="62" w:type="dxa"/>
          <w:right w:w="62" w:type="dxa"/>
        </w:tblCellMar>
        <w:tblLook w:val="0000"/>
      </w:tblPr>
      <w:tblGrid>
        <w:gridCol w:w="9497"/>
      </w:tblGrid>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Foundation skills essential to performance are explicit in the performance criteria of this unit of competency.</w:t>
            </w:r>
          </w:p>
        </w:tc>
      </w:tr>
    </w:tbl>
    <w:p w:rsidR="00000000" w:rsidRPr="0070150C" w:rsidP="0070150C">
      <w:pPr>
        <w:pStyle w:val="NoPaddingFontSize1"/>
      </w:pPr>
    </w:p>
    <w:p w:rsidR="00000000" w:rsidRPr="0070150C" w:rsidP="0070150C">
      <w:pPr>
        <w:pStyle w:val="AllowPageBreak"/>
      </w:pPr>
    </w:p>
    <w:p w:rsidR="00000000" w:rsidRPr="0070150C" w:rsidP="0070150C">
      <w:pPr>
        <w:pStyle w:val="Heading1"/>
      </w:pPr>
      <w:bookmarkStart w:id="8" w:name="O_1098806"/>
      <w:bookmarkEnd w:id="8"/>
      <w:r w:rsidRPr="0070150C">
        <w:t>Range of C</w:t>
      </w:r>
      <w:r w:rsidRPr="0070150C">
        <w:t>onditions</w:t>
      </w:r>
    </w:p>
    <w:tbl>
      <w:tblPr>
        <w:tblW w:w="9497" w:type="dxa"/>
        <w:tblLayout w:type="fixed"/>
        <w:tblCellMar>
          <w:left w:w="62" w:type="dxa"/>
          <w:right w:w="62" w:type="dxa"/>
        </w:tblCellMar>
        <w:tblLook w:val="0000"/>
      </w:tblPr>
      <w:tblGrid>
        <w:gridCol w:w="9497"/>
      </w:tblGrid>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Range is restricted to essential operating conditions and any other variables essential to the work environment.</w:t>
            </w:r>
          </w:p>
          <w:p w:rsidR="00000000" w:rsidRPr="0070150C" w:rsidP="0070150C">
            <w:pPr>
              <w:pStyle w:val="BodyText"/>
            </w:pPr>
            <w:r w:rsidRPr="0070150C">
              <w:t>Non-essential conditions may be found in the Companion Volume Implementation Guide.</w:t>
            </w:r>
          </w:p>
        </w:tc>
      </w:tr>
    </w:tbl>
    <w:p w:rsidR="00000000" w:rsidRPr="0070150C" w:rsidP="0070150C">
      <w:pPr>
        <w:pStyle w:val="NoPaddingFontSize1"/>
      </w:pPr>
    </w:p>
    <w:p w:rsidR="00000000" w:rsidRPr="0070150C" w:rsidP="0070150C">
      <w:pPr>
        <w:pStyle w:val="AllowPageBreak"/>
      </w:pPr>
    </w:p>
    <w:p w:rsidR="00000000" w:rsidRPr="0070150C" w:rsidP="0070150C">
      <w:pPr>
        <w:pStyle w:val="Heading1"/>
      </w:pPr>
      <w:bookmarkStart w:id="9" w:name="O_1098805"/>
      <w:bookmarkEnd w:id="9"/>
      <w:r w:rsidRPr="0070150C">
        <w:t>Unit Mapping Information</w:t>
      </w:r>
    </w:p>
    <w:tbl>
      <w:tblPr>
        <w:tblW w:w="9497" w:type="dxa"/>
        <w:tblLayout w:type="fixed"/>
        <w:tblCellMar>
          <w:left w:w="62" w:type="dxa"/>
          <w:right w:w="62" w:type="dxa"/>
        </w:tblCellMar>
        <w:tblLook w:val="0000"/>
      </w:tblPr>
      <w:tblGrid>
        <w:gridCol w:w="9497"/>
      </w:tblGrid>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This unit replaces and is equivalent to DEFEO210C Manage explosive ordnance engineering and logistics processes.</w:t>
            </w:r>
          </w:p>
        </w:tc>
      </w:tr>
    </w:tbl>
    <w:p w:rsidR="00000000" w:rsidRPr="0070150C" w:rsidP="0070150C">
      <w:pPr>
        <w:pStyle w:val="NoPaddingFontSize1"/>
      </w:pPr>
    </w:p>
    <w:p w:rsidR="00000000" w:rsidRPr="0070150C" w:rsidP="0070150C">
      <w:pPr>
        <w:pStyle w:val="AllowPageBreak"/>
      </w:pPr>
    </w:p>
    <w:p w:rsidR="00000000" w:rsidRPr="0070150C" w:rsidP="0070150C">
      <w:pPr>
        <w:pStyle w:val="Heading1"/>
      </w:pPr>
      <w:bookmarkStart w:id="10" w:name="O_1098814"/>
      <w:bookmarkEnd w:id="10"/>
      <w:r w:rsidRPr="0070150C">
        <w:t>Links</w:t>
      </w:r>
    </w:p>
    <w:p w:rsidR="00000000" w:rsidRPr="0070150C" w:rsidP="001D3D19">
      <w:pPr>
        <w:pStyle w:val="BodyText"/>
      </w:pPr>
      <w:r w:rsidRPr="007015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4179">
        <w:rPr>
          <w:rStyle w:val="Hyperlink"/>
        </w:rPr>
        <w:t>https://vetnet.gov.au/Pages/TrainingDocs.aspx?q=6bdbab1e-11ed-4bc9-9cba-9e1a55d4e4a9</w:t>
      </w:r>
      <w:r>
        <w:fldChar w:fldCharType="end"/>
      </w:r>
    </w:p>
    <w:p w:rsidR="00000000" w:rsidRPr="0070150C" w:rsidP="001D3D19">
      <w:pPr>
        <w:pStyle w:val="BodyText"/>
        <w:sectPr w:rsidSect="0070150C">
          <w:headerReference w:type="default" r:id="rId10"/>
          <w:footerReference w:type="default" r:id="rId11"/>
          <w:pgSz w:w="11908" w:h="16833"/>
          <w:pgMar w:top="1702" w:right="1418" w:bottom="1702" w:left="1418" w:header="992" w:footer="992" w:gutter="0"/>
          <w:cols w:space="720"/>
          <w:noEndnote/>
          <w:docGrid w:linePitch="299"/>
        </w:sectPr>
      </w:pPr>
    </w:p>
    <w:p w:rsidR="00000000" w:rsidRPr="0070150C" w:rsidP="0070150C">
      <w:pPr>
        <w:pStyle w:val="SuperHeading"/>
      </w:pPr>
      <w:r w:rsidRPr="0070150C">
        <w:t>Assessment Requirements for DEFEXO210 Manage explosive ordnance engineering and logistics processes</w:t>
      </w:r>
    </w:p>
    <w:p w:rsidR="00000000" w:rsidRPr="0070150C" w:rsidP="0070150C">
      <w:pPr>
        <w:pStyle w:val="Heading1"/>
      </w:pPr>
      <w:bookmarkStart w:id="11" w:name="O_1098803"/>
      <w:bookmarkEnd w:id="11"/>
      <w:r w:rsidRPr="0070150C">
        <w:t>Modification History</w:t>
      </w:r>
    </w:p>
    <w:tbl>
      <w:tblPr>
        <w:tblW w:w="9497" w:type="dxa"/>
        <w:tblLayout w:type="fixed"/>
        <w:tblCellMar>
          <w:left w:w="62" w:type="dxa"/>
          <w:right w:w="62" w:type="dxa"/>
        </w:tblCellMar>
        <w:tblLook w:val="0000"/>
      </w:tblPr>
      <w:tblGrid>
        <w:gridCol w:w="9497"/>
      </w:tblGrid>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150C">
            <w:pPr>
              <w:pStyle w:val="BodyText"/>
              <w:rPr>
                <w:lang w:val="en-NZ"/>
              </w:rPr>
            </w:pPr>
            <w:r w:rsidRPr="0070150C">
              <w:t>Release 2. Modifications made to Assessment Conditions.</w:t>
            </w:r>
          </w:p>
        </w:tc>
      </w:tr>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Release 1. This is the first release of this unit of competency in the DEF Defence Training Package.</w:t>
            </w:r>
          </w:p>
        </w:tc>
      </w:tr>
    </w:tbl>
    <w:p w:rsidR="001D3D19" w:rsidP="0070150C">
      <w:pPr>
        <w:pStyle w:val="NoPaddingFontSize1"/>
      </w:pPr>
    </w:p>
    <w:p w:rsidR="001D3D19" w:rsidP="0070150C">
      <w:pPr>
        <w:pStyle w:val="NoPaddingFontSize1"/>
      </w:pPr>
    </w:p>
    <w:p w:rsidR="00000000" w:rsidRPr="0070150C" w:rsidP="0070150C">
      <w:pPr>
        <w:pStyle w:val="Heading1"/>
      </w:pPr>
      <w:bookmarkStart w:id="12" w:name="O_1098802"/>
      <w:bookmarkEnd w:id="12"/>
      <w:r w:rsidRPr="0070150C">
        <w:t>Performance Evidence</w:t>
      </w:r>
    </w:p>
    <w:tbl>
      <w:tblPr>
        <w:tblW w:w="9497" w:type="dxa"/>
        <w:tblLayout w:type="fixed"/>
        <w:tblCellMar>
          <w:left w:w="62" w:type="dxa"/>
          <w:right w:w="62" w:type="dxa"/>
        </w:tblCellMar>
        <w:tblLook w:val="0000"/>
      </w:tblPr>
      <w:tblGrid>
        <w:gridCol w:w="9497"/>
      </w:tblGrid>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Evidence required to demonstrate competence in this unit must be relevant to and satisfy all of the requirements of the elements and performance criteria on at least one occasion and include:</w:t>
            </w:r>
          </w:p>
          <w:p w:rsidR="00000000" w:rsidRPr="0070150C" w:rsidP="0070150C">
            <w:pPr>
              <w:pStyle w:val="ListBullet"/>
            </w:pPr>
            <w:r w:rsidRPr="0070150C">
              <w:t>adjusting processes to reflect changed circumstances</w:t>
            </w:r>
          </w:p>
          <w:p w:rsidR="00000000" w:rsidRPr="0070150C" w:rsidP="0070150C">
            <w:pPr>
              <w:pStyle w:val="ListBullet"/>
            </w:pPr>
            <w:r w:rsidRPr="0070150C">
              <w:t>communicat</w:t>
            </w:r>
            <w:r w:rsidRPr="0070150C">
              <w:t>ing with supervisors, suppliers, clients and subordinates</w:t>
            </w:r>
          </w:p>
          <w:p w:rsidR="00000000" w:rsidRPr="0070150C" w:rsidP="0070150C">
            <w:pPr>
              <w:pStyle w:val="ListBullet"/>
            </w:pPr>
            <w:r w:rsidRPr="0070150C">
              <w:t>concluding explosive ordnance processes</w:t>
            </w:r>
          </w:p>
          <w:p w:rsidR="00000000" w:rsidRPr="0070150C" w:rsidP="0070150C">
            <w:pPr>
              <w:pStyle w:val="ListBullet"/>
            </w:pPr>
            <w:r w:rsidRPr="0070150C">
              <w:t>following safety, legislative and statutory requirements relevant to the risk assessment</w:t>
            </w:r>
          </w:p>
          <w:p w:rsidR="00000000" w:rsidRPr="0070150C" w:rsidP="0070150C">
            <w:pPr>
              <w:pStyle w:val="ListBullet"/>
            </w:pPr>
            <w:r w:rsidRPr="0070150C">
              <w:t xml:space="preserve">identifying, interpreting and analysing risk assessment requirements </w:t>
            </w:r>
            <w:r w:rsidRPr="0070150C">
              <w:t>relevant to explosive ordnance engineering and logistics processes</w:t>
            </w:r>
          </w:p>
          <w:p w:rsidR="00000000" w:rsidRPr="0070150C" w:rsidP="0070150C">
            <w:pPr>
              <w:pStyle w:val="ListBullet"/>
            </w:pPr>
            <w:r w:rsidRPr="0070150C">
              <w:t>identifying, sourcing and allocating relevant resources to the processes</w:t>
            </w:r>
          </w:p>
          <w:p w:rsidR="00000000" w:rsidRPr="0070150C" w:rsidP="0070150C">
            <w:pPr>
              <w:pStyle w:val="ListBullet"/>
            </w:pPr>
            <w:r w:rsidRPr="0070150C">
              <w:t>managing explosive ordnance processes efficiently and effectively</w:t>
            </w:r>
          </w:p>
          <w:p w:rsidR="00000000" w:rsidRPr="0070150C" w:rsidP="0070150C">
            <w:pPr>
              <w:pStyle w:val="ListBullet"/>
            </w:pPr>
            <w:r w:rsidRPr="0070150C">
              <w:t>planning for the conduct of explosive ordnance pro</w:t>
            </w:r>
            <w:r w:rsidRPr="0070150C">
              <w:t>cesses</w:t>
            </w:r>
          </w:p>
          <w:p w:rsidR="00000000" w:rsidRPr="0070150C" w:rsidP="0070150C">
            <w:pPr>
              <w:pStyle w:val="ListBullet"/>
            </w:pPr>
            <w:r w:rsidRPr="0070150C">
              <w:t>preparing complex documents, includes reports, feasibility assessments and organisational plans</w:t>
            </w:r>
          </w:p>
          <w:p w:rsidR="00000000" w:rsidRPr="0070150C" w:rsidP="0070150C">
            <w:pPr>
              <w:pStyle w:val="ListBullet"/>
            </w:pPr>
            <w:r w:rsidRPr="0070150C">
              <w:t>using effective techniques to support teams</w:t>
            </w:r>
          </w:p>
        </w:tc>
      </w:tr>
    </w:tbl>
    <w:p w:rsidR="00000000" w:rsidRPr="0070150C" w:rsidP="0070150C">
      <w:pPr>
        <w:pStyle w:val="NoPaddingFontSize1"/>
      </w:pPr>
    </w:p>
    <w:p w:rsidR="00000000" w:rsidRPr="0070150C" w:rsidP="0070150C">
      <w:pPr>
        <w:pStyle w:val="AllowPageBreak"/>
      </w:pPr>
    </w:p>
    <w:p w:rsidR="00000000" w:rsidRPr="0070150C" w:rsidP="0070150C">
      <w:pPr>
        <w:pStyle w:val="Heading1"/>
      </w:pPr>
      <w:bookmarkStart w:id="13" w:name="O_1098801"/>
      <w:bookmarkEnd w:id="13"/>
      <w:r w:rsidRPr="0070150C">
        <w:t>Knowledge Evidence</w:t>
      </w:r>
    </w:p>
    <w:tbl>
      <w:tblPr>
        <w:tblW w:w="9497" w:type="dxa"/>
        <w:tblLayout w:type="fixed"/>
        <w:tblCellMar>
          <w:left w:w="62" w:type="dxa"/>
          <w:right w:w="62" w:type="dxa"/>
        </w:tblCellMar>
        <w:tblLook w:val="0000"/>
      </w:tblPr>
      <w:tblGrid>
        <w:gridCol w:w="9497"/>
      </w:tblGrid>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Evidence required to demonstrate competence in this unit must be relevant to and satisfy all of the requirements of the elements and performance criteria and include knowledge of:</w:t>
            </w:r>
          </w:p>
          <w:p w:rsidR="00000000" w:rsidRPr="0070150C" w:rsidP="0070150C">
            <w:pPr>
              <w:pStyle w:val="ListBullet"/>
            </w:pPr>
            <w:r w:rsidRPr="0070150C">
              <w:t>acquisition processes</w:t>
            </w:r>
          </w:p>
          <w:p w:rsidR="00000000" w:rsidRPr="0070150C" w:rsidP="0070150C">
            <w:pPr>
              <w:pStyle w:val="ListBullet"/>
            </w:pPr>
            <w:r w:rsidRPr="0070150C">
              <w:t xml:space="preserve">composition of teams, and roles and responsibilities </w:t>
            </w:r>
            <w:r w:rsidRPr="0070150C">
              <w:t>of team members</w:t>
            </w:r>
          </w:p>
          <w:p w:rsidR="00000000" w:rsidRPr="0070150C" w:rsidP="0070150C">
            <w:pPr>
              <w:pStyle w:val="ListBullet"/>
            </w:pPr>
            <w:r w:rsidRPr="0070150C">
              <w:t>explosive ordnance engineering and logistics processes</w:t>
            </w:r>
          </w:p>
          <w:p w:rsidR="00000000" w:rsidRPr="0070150C" w:rsidP="0070150C">
            <w:pPr>
              <w:pStyle w:val="ListBullet"/>
            </w:pPr>
            <w:r w:rsidRPr="0070150C">
              <w:t>feasibility assessment requirements</w:t>
            </w:r>
          </w:p>
          <w:p w:rsidR="00000000" w:rsidRPr="0070150C" w:rsidP="0070150C">
            <w:pPr>
              <w:pStyle w:val="ListBullet"/>
            </w:pPr>
            <w:r w:rsidRPr="0070150C">
              <w:t>instructions and procedures relating to the performance of the processes</w:t>
            </w:r>
          </w:p>
          <w:p w:rsidR="00000000" w:rsidRPr="0070150C" w:rsidP="0070150C">
            <w:pPr>
              <w:pStyle w:val="ListBullet"/>
            </w:pPr>
            <w:r w:rsidRPr="0070150C">
              <w:t>inventory control</w:t>
            </w:r>
          </w:p>
          <w:p w:rsidR="00000000" w:rsidRPr="0070150C" w:rsidP="0070150C">
            <w:pPr>
              <w:pStyle w:val="ListBullet"/>
            </w:pPr>
            <w:r w:rsidRPr="0070150C">
              <w:t xml:space="preserve">operational safety associated with the explosive ordnance </w:t>
            </w:r>
            <w:r w:rsidRPr="0070150C">
              <w:t>process</w:t>
            </w:r>
          </w:p>
          <w:p w:rsidR="00000000" w:rsidRPr="0070150C" w:rsidP="0070150C">
            <w:pPr>
              <w:pStyle w:val="ListBullet"/>
            </w:pPr>
            <w:r w:rsidRPr="0070150C">
              <w:t>organisational procedures for budgets and financial management</w:t>
            </w:r>
          </w:p>
          <w:p w:rsidR="00000000" w:rsidRPr="0070150C" w:rsidP="0070150C">
            <w:pPr>
              <w:pStyle w:val="ListBullet"/>
            </w:pPr>
            <w:r w:rsidRPr="0070150C">
              <w:t>relevant legislation, organisational policies, procedures and instructions, including work health and safety</w:t>
            </w:r>
          </w:p>
          <w:p w:rsidR="00000000" w:rsidRPr="0070150C" w:rsidP="0070150C">
            <w:pPr>
              <w:pStyle w:val="ListBullet"/>
            </w:pPr>
            <w:r w:rsidRPr="0070150C">
              <w:t>relevant organisational reporting requirements and procedures</w:t>
            </w:r>
          </w:p>
          <w:p w:rsidR="00000000" w:rsidRPr="0070150C" w:rsidP="0070150C">
            <w:pPr>
              <w:pStyle w:val="ListBullet"/>
            </w:pPr>
            <w:r w:rsidRPr="0070150C">
              <w:t>resource and other requirements for the engineering and logistics processes</w:t>
            </w:r>
          </w:p>
        </w:tc>
      </w:tr>
    </w:tbl>
    <w:p w:rsidR="00000000" w:rsidRPr="0070150C" w:rsidP="0070150C">
      <w:pPr>
        <w:pStyle w:val="NoPaddingFontSize1"/>
      </w:pPr>
    </w:p>
    <w:p w:rsidR="00000000" w:rsidRPr="0070150C" w:rsidP="0070150C">
      <w:pPr>
        <w:pStyle w:val="AllowPageBreak"/>
      </w:pPr>
    </w:p>
    <w:p w:rsidR="00000000" w:rsidRPr="0070150C" w:rsidP="0070150C">
      <w:pPr>
        <w:pStyle w:val="Heading1"/>
      </w:pPr>
      <w:bookmarkStart w:id="14" w:name="O_1098800"/>
      <w:bookmarkEnd w:id="14"/>
      <w:r w:rsidRPr="0070150C">
        <w:t>Assessment Conditions</w:t>
      </w:r>
    </w:p>
    <w:tbl>
      <w:tblPr>
        <w:tblW w:w="9497" w:type="dxa"/>
        <w:tblLayout w:type="fixed"/>
        <w:tblCellMar>
          <w:left w:w="62" w:type="dxa"/>
          <w:right w:w="62" w:type="dxa"/>
        </w:tblCellMar>
        <w:tblLook w:val="0000"/>
      </w:tblPr>
      <w:tblGrid>
        <w:gridCol w:w="9497"/>
      </w:tblGrid>
      <w:tr w:rsidTr="00701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0C" w:rsidP="0070150C">
            <w:pPr>
              <w:pStyle w:val="BodyText"/>
            </w:pPr>
            <w:r w:rsidRPr="0070150C">
              <w:t>Assessors must hold credentials specified within the Standards for Registered Training Organisations current at the time of assessment.</w:t>
            </w:r>
          </w:p>
          <w:p w:rsidR="00000000" w:rsidRPr="0070150C" w:rsidP="0070150C">
            <w:pPr>
              <w:pStyle w:val="BodyText"/>
            </w:pPr>
            <w:r w:rsidRPr="0070150C">
              <w:t>A</w:t>
            </w:r>
            <w:r w:rsidRPr="0070150C">
              <w:t xml:space="preserve">ssessment must satisfy the Principles of Assessment and Rules of Evidence and all regulatory </w:t>
            </w:r>
            <w:r w:rsidRPr="0070150C">
              <w:t>requirements included within the Standards for Registered Training Organisations current at the time of assessment.</w:t>
            </w:r>
          </w:p>
          <w:p w:rsidR="00000000" w:rsidRPr="0070150C" w:rsidP="0070150C">
            <w:pPr>
              <w:pStyle w:val="BodyText"/>
            </w:pPr>
            <w:r w:rsidRPr="0070150C">
              <w:t xml:space="preserve">Assessment must occur in workplace operational </w:t>
            </w:r>
            <w:r w:rsidRPr="0070150C">
              <w:t>situations. Where this is not appropriate, assessment must occur in simulated workplace operational situations that reflect workplace conditions.</w:t>
            </w:r>
          </w:p>
          <w:p w:rsidR="00000000" w:rsidRPr="0070150C" w:rsidP="0070150C">
            <w:pPr>
              <w:pStyle w:val="BodyText"/>
            </w:pPr>
            <w:r w:rsidRPr="0070150C">
              <w:t>Assessment processes and techniques must be appropriate to the language, literacy and numeracy requirements of</w:t>
            </w:r>
            <w:r w:rsidRPr="0070150C">
              <w:t xml:space="preserve"> the work being performed and the needs of the candidate.</w:t>
            </w:r>
          </w:p>
          <w:p w:rsidR="00000000" w:rsidRPr="0070150C" w:rsidP="0070150C">
            <w:pPr>
              <w:pStyle w:val="BodyText"/>
            </w:pPr>
            <w:r w:rsidRPr="0070150C">
              <w:t>Resources for assessment must include access to:</w:t>
            </w:r>
          </w:p>
          <w:p w:rsidR="00000000" w:rsidRPr="0070150C" w:rsidP="0070150C">
            <w:pPr>
              <w:pStyle w:val="ListBullet"/>
            </w:pPr>
            <w:r w:rsidRPr="0070150C">
              <w:tab/>
              <w:t xml:space="preserve">a range of relevant exercises, case studies and/or simulations </w:t>
            </w:r>
          </w:p>
          <w:p w:rsidR="00000000" w:rsidRPr="0070150C" w:rsidP="0070150C">
            <w:pPr>
              <w:pStyle w:val="ListBullet"/>
            </w:pPr>
            <w:r w:rsidRPr="0070150C">
              <w:tab/>
              <w:t xml:space="preserve">acceptable means of simulation assessment </w:t>
            </w:r>
          </w:p>
          <w:p w:rsidR="00000000" w:rsidRPr="0070150C" w:rsidP="0070150C">
            <w:pPr>
              <w:pStyle w:val="ListBullet"/>
            </w:pPr>
            <w:r w:rsidRPr="0070150C">
              <w:tab/>
            </w:r>
            <w:r w:rsidRPr="0070150C">
              <w:t xml:space="preserve">applicable documentation, including workplace procedures, regulations, codes of practice and operation manuals </w:t>
            </w:r>
          </w:p>
          <w:p w:rsidR="00000000" w:rsidRPr="0070150C" w:rsidP="0070150C">
            <w:pPr>
              <w:pStyle w:val="ListBullet"/>
            </w:pPr>
            <w:r w:rsidRPr="0070150C">
              <w:tab/>
              <w:t>relevant materials, tools, equipment and PPE currently used in industry.</w:t>
            </w:r>
          </w:p>
        </w:tc>
      </w:tr>
    </w:tbl>
    <w:p w:rsidR="001D3D19" w:rsidP="0070150C">
      <w:pPr>
        <w:pStyle w:val="NoPaddingFontSize1"/>
      </w:pPr>
    </w:p>
    <w:p w:rsidR="001D3D19" w:rsidP="0070150C">
      <w:pPr>
        <w:pStyle w:val="NoPaddingFontSize1"/>
      </w:pPr>
    </w:p>
    <w:p w:rsidR="00000000" w:rsidRPr="0070150C" w:rsidP="0070150C">
      <w:pPr>
        <w:pStyle w:val="Heading1"/>
      </w:pPr>
      <w:bookmarkStart w:id="15" w:name="O_1098815"/>
      <w:bookmarkEnd w:id="15"/>
      <w:r w:rsidRPr="0070150C">
        <w:t>Links</w:t>
      </w:r>
    </w:p>
    <w:p w:rsidR="00000000" w:rsidRPr="0070150C" w:rsidP="001D3D19">
      <w:pPr>
        <w:pStyle w:val="BodyText"/>
      </w:pPr>
      <w:r w:rsidRPr="0070150C">
        <w:t>Companion Volume implementation guides are</w:t>
      </w:r>
      <w:r w:rsidRPr="0070150C">
        <w:t xml:space="preserve"> found in VETNet - </w:t>
      </w:r>
      <w:r>
        <w:fldChar w:fldCharType="begin"/>
      </w:r>
      <w:r>
        <w:instrText xml:space="preserve"> HYPERLINK "https://vetnet.gov.au/Pages/TrainingDocs.aspx?q=6bdbab1e-11ed-4bc9-9cba-9e1a55d4e4a9" </w:instrText>
      </w:r>
      <w:r>
        <w:fldChar w:fldCharType="separate"/>
      </w:r>
      <w:r w:rsidRPr="00244179">
        <w:rPr>
          <w:rStyle w:val="Hyperlink"/>
        </w:rPr>
        <w:t>https://vetnet.gov.au/Pages/TrainingDocs.aspx?q=6bdbab1e-11ed-4bc9-9cba-9e1a55d4e4a9</w:t>
      </w:r>
      <w:r>
        <w:fldChar w:fldCharType="end"/>
      </w:r>
    </w:p>
    <w:p w:rsidR="00000000" w:rsidRPr="0070150C" w:rsidP="0070150C"/>
    <w:sectPr w:rsidSect="007015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0C" w:rsidRPr="001D3D19" w:rsidP="001D3D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19" w:rsidP="00701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3D19" w:rsidP="007015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D3D19" w:rsidP="007015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0C" w:rsidP="0070150C">
    <w:pPr>
      <w:pStyle w:val="Footer"/>
      <w:framePr w:wrap="around"/>
    </w:pPr>
    <w:r>
      <w:fldChar w:fldCharType="begin"/>
    </w:r>
    <w:r>
      <w:instrText xml:space="preserve"> DOCPROPERTY  Subject  \* MERGEFORMAT </w:instrText>
    </w:r>
    <w:r>
      <w:fldChar w:fldCharType="separate"/>
    </w:r>
    <w:r w:rsidR="001D3D19">
      <w:t>Approved</w:t>
    </w:r>
    <w:r w:rsidR="001D3D19">
      <w:fldChar w:fldCharType="end"/>
    </w:r>
    <w:r>
      <w:tab/>
      <w:t xml:space="preserve">Page </w:t>
    </w:r>
    <w:r>
      <w:fldChar w:fldCharType="begin"/>
    </w:r>
    <w:r>
      <w:instrText xml:space="preserve"> PAGE  \* Arabic  \* MERGEFORMAT </w:instrText>
    </w:r>
    <w:r>
      <w:fldChar w:fldCharType="separate"/>
    </w:r>
    <w:r w:rsidR="001D3D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3D19">
      <w:rPr>
        <w:noProof/>
      </w:rPr>
      <w:t>5</w:t>
    </w:r>
    <w:r>
      <w:rPr>
        <w:noProof/>
      </w:rPr>
      <w:fldChar w:fldCharType="end"/>
    </w:r>
  </w:p>
  <w:p w:rsidR="0070150C" w:rsidP="0070150C">
    <w:pPr>
      <w:pStyle w:val="Footer"/>
      <w:framePr w:wrap="around"/>
    </w:pPr>
    <w:r>
      <w:t xml:space="preserve">© Commonwealth of Australia, </w:t>
    </w:r>
    <w:r>
      <w:fldChar w:fldCharType="begin"/>
    </w:r>
    <w:r>
      <w:instrText xml:space="preserve"> DATE  \@ "yyyy"  \* MERGEFORMAT </w:instrText>
    </w:r>
    <w:r>
      <w:fldChar w:fldCharType="separate"/>
    </w:r>
    <w:r w:rsidR="001D3D19">
      <w:rPr>
        <w:noProof/>
      </w:rPr>
      <w:t>2025</w:t>
    </w:r>
    <w:r>
      <w:fldChar w:fldCharType="end"/>
    </w:r>
    <w:r>
      <w:tab/>
    </w:r>
    <w:r>
      <w:fldChar w:fldCharType="begin"/>
    </w:r>
    <w:r>
      <w:instrText xml:space="preserve"> DOCPROPERTY  Author  \* MERGEFORMAT </w:instrText>
    </w:r>
    <w:r>
      <w:fldChar w:fldCharType="separate"/>
    </w:r>
    <w:r w:rsidR="001D3D19">
      <w:t>Public Skills Australia</w:t>
    </w:r>
    <w:r w:rsidR="001D3D19">
      <w:fldChar w:fldCharType="end"/>
    </w:r>
  </w:p>
  <w:p w:rsidR="0070150C" w:rsidP="007015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150C" w:rsidRPr="001D3D19" w:rsidP="001D3D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19" w:rsidRPr="002D2AF8" w:rsidP="0070150C">
    <w:pPr>
      <w:pStyle w:val="Header"/>
      <w:framePr w:wrap="around"/>
    </w:pPr>
    <w:r>
      <w:fldChar w:fldCharType="begin"/>
    </w:r>
    <w:r>
      <w:instrText xml:space="preserve"> TITLE   \* MERGEFORMAT </w:instrText>
    </w:r>
    <w:r>
      <w:fldChar w:fldCharType="separate"/>
    </w:r>
    <w:r>
      <w:t>DEFEXO210 Manage explosive ordnance engineering and logistics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3D19" w:rsidP="007015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0C" w:rsidRPr="002D2AF8" w:rsidP="0070150C">
    <w:pPr>
      <w:pStyle w:val="Header"/>
      <w:framePr w:wrap="around"/>
    </w:pPr>
    <w:r>
      <w:fldChar w:fldCharType="begin"/>
    </w:r>
    <w:r>
      <w:instrText xml:space="preserve"> TITLE   \* MERGEFORMAT </w:instrText>
    </w:r>
    <w:r>
      <w:fldChar w:fldCharType="separate"/>
    </w:r>
    <w:r w:rsidR="001D3D19">
      <w:t>DEFEXO210 Manage explosive ordnance engineering and logistics processes</w:t>
    </w:r>
    <w:r w:rsidR="001D3D19">
      <w:fldChar w:fldCharType="end"/>
    </w:r>
    <w:r>
      <w:tab/>
      <w:t xml:space="preserve">Date this document was generated: </w:t>
    </w:r>
    <w:r>
      <w:fldChar w:fldCharType="begin"/>
    </w:r>
    <w:r>
      <w:instrText xml:space="preserve"> CREATEDATE  \@ "d MMMM yyyy"  \* MERGEFORMAT </w:instrText>
    </w:r>
    <w:r>
      <w:fldChar w:fldCharType="separate"/>
    </w:r>
    <w:r w:rsidR="001D3D19">
      <w:rPr>
        <w:noProof/>
      </w:rPr>
      <w:t>2 March 2025</w:t>
    </w:r>
    <w:r>
      <w:fldChar w:fldCharType="end"/>
    </w:r>
  </w:p>
  <w:p w:rsidR="0070150C" w:rsidP="007015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3446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FA3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5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50C"/>
    <w:pPr>
      <w:spacing w:before="360" w:after="60"/>
      <w:outlineLvl w:val="0"/>
    </w:pPr>
    <w:rPr>
      <w:sz w:val="32"/>
    </w:rPr>
  </w:style>
  <w:style w:type="paragraph" w:styleId="Heading2">
    <w:name w:val="heading 2"/>
    <w:basedOn w:val="HeadingBase"/>
    <w:next w:val="BodyText"/>
    <w:link w:val="Heading2Char"/>
    <w:qFormat/>
    <w:rsid w:val="0070150C"/>
    <w:pPr>
      <w:keepLines/>
      <w:spacing w:before="240" w:after="120"/>
      <w:outlineLvl w:val="1"/>
    </w:pPr>
    <w:rPr>
      <w:sz w:val="28"/>
      <w:szCs w:val="40"/>
    </w:rPr>
  </w:style>
  <w:style w:type="paragraph" w:styleId="Heading3">
    <w:name w:val="heading 3"/>
    <w:basedOn w:val="HeadingBase"/>
    <w:next w:val="BodyText"/>
    <w:link w:val="Heading3Char"/>
    <w:qFormat/>
    <w:rsid w:val="0070150C"/>
    <w:pPr>
      <w:spacing w:before="180" w:after="120"/>
      <w:outlineLvl w:val="2"/>
    </w:pPr>
    <w:rPr>
      <w:spacing w:val="-10"/>
      <w:kern w:val="32"/>
    </w:rPr>
  </w:style>
  <w:style w:type="paragraph" w:styleId="Heading4">
    <w:name w:val="heading 4"/>
    <w:basedOn w:val="HeadingBase"/>
    <w:next w:val="BodyText"/>
    <w:link w:val="Heading4Char"/>
    <w:qFormat/>
    <w:rsid w:val="0070150C"/>
    <w:pPr>
      <w:spacing w:before="160" w:after="120"/>
      <w:outlineLvl w:val="3"/>
    </w:pPr>
    <w:rPr>
      <w:sz w:val="22"/>
    </w:rPr>
  </w:style>
  <w:style w:type="paragraph" w:styleId="Heading5">
    <w:name w:val="heading 5"/>
    <w:basedOn w:val="HeadingBase"/>
    <w:next w:val="Normal"/>
    <w:link w:val="Heading5Char"/>
    <w:qFormat/>
    <w:rsid w:val="0070150C"/>
    <w:pPr>
      <w:spacing w:before="80"/>
      <w:outlineLvl w:val="4"/>
    </w:pPr>
    <w:rPr>
      <w:color w:val="918585"/>
      <w:sz w:val="20"/>
    </w:rPr>
  </w:style>
  <w:style w:type="paragraph" w:styleId="Heading6">
    <w:name w:val="heading 6"/>
    <w:basedOn w:val="HeadingBase"/>
    <w:next w:val="Normal"/>
    <w:link w:val="Heading6Char"/>
    <w:qFormat/>
    <w:rsid w:val="0070150C"/>
    <w:pPr>
      <w:spacing w:before="60"/>
      <w:outlineLvl w:val="5"/>
    </w:pPr>
    <w:rPr>
      <w:color w:val="918585"/>
      <w:sz w:val="20"/>
    </w:rPr>
  </w:style>
  <w:style w:type="paragraph" w:styleId="Heading7">
    <w:name w:val="heading 7"/>
    <w:basedOn w:val="Normal"/>
    <w:next w:val="Normal"/>
    <w:link w:val="Heading7Char"/>
    <w:qFormat/>
    <w:rsid w:val="0070150C"/>
    <w:pPr>
      <w:ind w:left="720"/>
      <w:outlineLvl w:val="6"/>
    </w:pPr>
    <w:rPr>
      <w:i/>
    </w:rPr>
  </w:style>
  <w:style w:type="paragraph" w:styleId="Heading8">
    <w:name w:val="heading 8"/>
    <w:basedOn w:val="Normal"/>
    <w:next w:val="Normal"/>
    <w:link w:val="Heading8Char"/>
    <w:qFormat/>
    <w:rsid w:val="0070150C"/>
    <w:pPr>
      <w:ind w:left="720"/>
      <w:outlineLvl w:val="7"/>
    </w:pPr>
    <w:rPr>
      <w:i/>
    </w:rPr>
  </w:style>
  <w:style w:type="paragraph" w:styleId="Heading9">
    <w:name w:val="heading 9"/>
    <w:basedOn w:val="Normal"/>
    <w:next w:val="Normal"/>
    <w:link w:val="Heading9Char"/>
    <w:qFormat/>
    <w:rsid w:val="0070150C"/>
    <w:pPr>
      <w:ind w:left="720"/>
      <w:outlineLvl w:val="8"/>
    </w:pPr>
    <w:rPr>
      <w:i/>
    </w:rPr>
  </w:style>
  <w:style w:type="character" w:default="1" w:styleId="DefaultParagraphFont">
    <w:name w:val="Default Paragraph Font"/>
    <w:uiPriority w:val="1"/>
    <w:unhideWhenUsed/>
    <w:rsid w:val="00701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50C"/>
  </w:style>
  <w:style w:type="character" w:customStyle="1" w:styleId="Heading1Char">
    <w:name w:val="Heading 1 Char"/>
    <w:basedOn w:val="DefaultParagraphFont"/>
    <w:link w:val="Heading1"/>
    <w:rsid w:val="0070150C"/>
    <w:rPr>
      <w:rFonts w:ascii="Times New Roman" w:eastAsia="Times New Roman" w:hAnsi="Times New Roman" w:cs="Times New Roman"/>
      <w:b/>
      <w:sz w:val="32"/>
      <w:szCs w:val="20"/>
      <w:lang w:eastAsia="en-US"/>
    </w:rPr>
  </w:style>
  <w:style w:type="paragraph" w:styleId="BodyText">
    <w:name w:val="Body Text"/>
    <w:basedOn w:val="Normal"/>
    <w:link w:val="BodyTextChar"/>
    <w:rsid w:val="007015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150C"/>
    <w:rPr>
      <w:rFonts w:ascii="Times New Roman" w:eastAsia="Times New Roman" w:hAnsi="Times New Roman" w:cs="Times New Roman"/>
      <w:sz w:val="24"/>
      <w:lang w:eastAsia="en-US"/>
    </w:rPr>
  </w:style>
  <w:style w:type="paragraph" w:styleId="ListBullet">
    <w:name w:val="List Bullet"/>
    <w:basedOn w:val="List"/>
    <w:rsid w:val="0070150C"/>
    <w:pPr>
      <w:numPr>
        <w:numId w:val="11"/>
      </w:numPr>
      <w:tabs>
        <w:tab w:val="clear" w:pos="340"/>
      </w:tabs>
      <w:spacing w:before="40" w:after="40"/>
    </w:pPr>
  </w:style>
  <w:style w:type="character" w:customStyle="1" w:styleId="SpecialBold">
    <w:name w:val="Special Bold"/>
    <w:basedOn w:val="DefaultParagraphFont"/>
    <w:rsid w:val="0070150C"/>
    <w:rPr>
      <w:b/>
      <w:spacing w:val="0"/>
    </w:rPr>
  </w:style>
  <w:style w:type="paragraph" w:customStyle="1" w:styleId="SuperHeading">
    <w:name w:val="SuperHeading"/>
    <w:basedOn w:val="Normal"/>
    <w:rsid w:val="0070150C"/>
    <w:pPr>
      <w:spacing w:before="240" w:after="120"/>
      <w:outlineLvl w:val="0"/>
    </w:pPr>
    <w:rPr>
      <w:rFonts w:ascii="Times New Roman" w:hAnsi="Times New Roman"/>
      <w:b/>
      <w:sz w:val="32"/>
    </w:rPr>
  </w:style>
  <w:style w:type="paragraph" w:customStyle="1" w:styleId="AllowPageBreak">
    <w:name w:val="AllowPageBreak"/>
    <w:rsid w:val="007015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1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5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5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50C"/>
    <w:rPr>
      <w:rFonts w:ascii="Courier New" w:eastAsia="Times New Roman" w:hAnsi="Courier New" w:cs="Times New Roman"/>
      <w:i/>
      <w:szCs w:val="20"/>
      <w:lang w:eastAsia="en-US"/>
    </w:rPr>
  </w:style>
  <w:style w:type="paragraph" w:customStyle="1" w:styleId="HeadingBase">
    <w:name w:val="Heading Base"/>
    <w:rsid w:val="00701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50C"/>
    <w:pPr>
      <w:tabs>
        <w:tab w:val="right" w:leader="dot" w:pos="9072"/>
      </w:tabs>
      <w:ind w:left="567"/>
    </w:pPr>
    <w:rPr>
      <w:szCs w:val="22"/>
    </w:rPr>
  </w:style>
  <w:style w:type="paragraph" w:customStyle="1" w:styleId="TOCBase">
    <w:name w:val="TOC Base"/>
    <w:rsid w:val="00701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50C"/>
    <w:pPr>
      <w:tabs>
        <w:tab w:val="right" w:leader="dot" w:pos="9072"/>
      </w:tabs>
      <w:spacing w:before="40" w:after="40"/>
      <w:ind w:left="284"/>
    </w:pPr>
    <w:rPr>
      <w:rFonts w:ascii="Times New Roman" w:hAnsi="Times New Roman"/>
    </w:rPr>
  </w:style>
  <w:style w:type="paragraph" w:styleId="TOC1">
    <w:name w:val="toc 1"/>
    <w:basedOn w:val="TOCBase"/>
    <w:next w:val="Normal"/>
    <w:rsid w:val="007015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50C"/>
    <w:rPr>
      <w:rFonts w:ascii="Times New Roman" w:eastAsia="Times New Roman" w:hAnsi="Times New Roman" w:cs="Times New Roman"/>
      <w:sz w:val="16"/>
      <w:lang w:eastAsia="en-US"/>
    </w:rPr>
  </w:style>
  <w:style w:type="paragraph" w:styleId="Title">
    <w:name w:val="Title"/>
    <w:basedOn w:val="HeadingBase"/>
    <w:link w:val="TitleChar"/>
    <w:qFormat/>
    <w:rsid w:val="0070150C"/>
    <w:pPr>
      <w:spacing w:before="5040"/>
      <w:jc w:val="center"/>
    </w:pPr>
    <w:rPr>
      <w:sz w:val="48"/>
      <w:szCs w:val="72"/>
      <w:lang w:val="en-US"/>
    </w:rPr>
  </w:style>
  <w:style w:type="character" w:customStyle="1" w:styleId="TitleChar">
    <w:name w:val="Title Char"/>
    <w:basedOn w:val="DefaultParagraphFont"/>
    <w:link w:val="Title"/>
    <w:rsid w:val="00701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50C"/>
    <w:pPr>
      <w:tabs>
        <w:tab w:val="left" w:pos="3600"/>
        <w:tab w:val="left" w:pos="3958"/>
      </w:tabs>
    </w:pPr>
  </w:style>
  <w:style w:type="paragraph" w:styleId="List">
    <w:name w:val="List"/>
    <w:basedOn w:val="BodyText"/>
    <w:next w:val="BodyText"/>
    <w:rsid w:val="0070150C"/>
    <w:pPr>
      <w:tabs>
        <w:tab w:val="left" w:pos="340"/>
      </w:tabs>
      <w:spacing w:before="60" w:after="60"/>
      <w:ind w:left="340" w:hanging="340"/>
    </w:pPr>
  </w:style>
  <w:style w:type="paragraph" w:customStyle="1" w:styleId="Note">
    <w:name w:val="Note"/>
    <w:basedOn w:val="BodyText"/>
    <w:rsid w:val="00701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50C"/>
    <w:pPr>
      <w:framePr w:wrap="auto" w:hAnchor="text" w:y="6049"/>
    </w:pPr>
    <w:rPr>
      <w:color w:val="000000"/>
      <w:sz w:val="40"/>
    </w:rPr>
  </w:style>
  <w:style w:type="paragraph" w:customStyle="1" w:styleId="TOCTitle">
    <w:name w:val="TOCTitle"/>
    <w:basedOn w:val="Heading1"/>
    <w:rsid w:val="0070150C"/>
    <w:pPr>
      <w:spacing w:after="240"/>
      <w:jc w:val="center"/>
      <w:outlineLvl w:val="9"/>
    </w:pPr>
    <w:rPr>
      <w:caps/>
    </w:rPr>
  </w:style>
  <w:style w:type="paragraph" w:customStyle="1" w:styleId="Version">
    <w:name w:val="Version"/>
    <w:rsid w:val="007015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150C"/>
    <w:pPr>
      <w:numPr>
        <w:numId w:val="12"/>
      </w:numPr>
      <w:tabs>
        <w:tab w:val="clear" w:pos="680"/>
      </w:tabs>
    </w:pPr>
  </w:style>
  <w:style w:type="paragraph" w:styleId="Index1">
    <w:name w:val="index 1"/>
    <w:basedOn w:val="Normal"/>
    <w:next w:val="Normal"/>
    <w:semiHidden/>
    <w:rsid w:val="0070150C"/>
    <w:pPr>
      <w:keepNext w:val="0"/>
      <w:tabs>
        <w:tab w:val="right" w:pos="4176"/>
      </w:tabs>
      <w:ind w:left="198" w:hanging="198"/>
    </w:pPr>
    <w:rPr>
      <w:rFonts w:ascii="Garamond" w:hAnsi="Garamond"/>
    </w:rPr>
  </w:style>
  <w:style w:type="paragraph" w:styleId="IndexHeading">
    <w:name w:val="index heading"/>
    <w:basedOn w:val="Normal"/>
    <w:next w:val="Index1"/>
    <w:semiHidden/>
    <w:rsid w:val="0070150C"/>
    <w:pPr>
      <w:spacing w:before="120" w:after="120"/>
    </w:pPr>
    <w:rPr>
      <w:rFonts w:ascii="Arial" w:hAnsi="Arial"/>
      <w:b/>
      <w:color w:val="918585"/>
      <w:sz w:val="24"/>
    </w:rPr>
  </w:style>
  <w:style w:type="paragraph" w:styleId="Header">
    <w:name w:val="header"/>
    <w:basedOn w:val="Normal"/>
    <w:link w:val="HeaderChar"/>
    <w:rsid w:val="00701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50C"/>
    <w:rPr>
      <w:rFonts w:ascii="Times New Roman" w:eastAsia="Times New Roman" w:hAnsi="Times New Roman" w:cs="Times New Roman"/>
      <w:sz w:val="16"/>
      <w:szCs w:val="20"/>
      <w:lang w:val="en-GB" w:eastAsia="en-US"/>
    </w:rPr>
  </w:style>
  <w:style w:type="paragraph" w:customStyle="1" w:styleId="Chapter">
    <w:name w:val="Chapter"/>
    <w:basedOn w:val="Normal"/>
    <w:rsid w:val="0070150C"/>
    <w:pPr>
      <w:spacing w:before="240"/>
    </w:pPr>
    <w:rPr>
      <w:rFonts w:ascii="Times New Roman" w:hAnsi="Times New Roman"/>
      <w:smallCaps/>
      <w:spacing w:val="80"/>
      <w:sz w:val="28"/>
    </w:rPr>
  </w:style>
  <w:style w:type="paragraph" w:customStyle="1" w:styleId="InChapter">
    <w:name w:val="InChapter"/>
    <w:basedOn w:val="Heading3"/>
    <w:rsid w:val="0070150C"/>
    <w:pPr>
      <w:spacing w:after="240"/>
      <w:outlineLvl w:val="9"/>
    </w:pPr>
    <w:rPr>
      <w:noProof/>
    </w:rPr>
  </w:style>
  <w:style w:type="paragraph" w:styleId="Index2">
    <w:name w:val="index 2"/>
    <w:basedOn w:val="Normal"/>
    <w:next w:val="Normal"/>
    <w:semiHidden/>
    <w:rsid w:val="0070150C"/>
    <w:pPr>
      <w:tabs>
        <w:tab w:val="right" w:pos="4176"/>
      </w:tabs>
      <w:ind w:left="568" w:hanging="284"/>
    </w:pPr>
    <w:rPr>
      <w:rFonts w:ascii="Garamond" w:hAnsi="Garamond"/>
    </w:rPr>
  </w:style>
  <w:style w:type="paragraph" w:customStyle="1" w:styleId="Byline">
    <w:name w:val="Byline"/>
    <w:rsid w:val="00701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50C"/>
    <w:pPr>
      <w:tabs>
        <w:tab w:val="clear" w:pos="3600"/>
        <w:tab w:val="clear" w:pos="3958"/>
      </w:tabs>
      <w:jc w:val="right"/>
    </w:pPr>
  </w:style>
  <w:style w:type="character" w:styleId="Emphasis">
    <w:name w:val="Emphasis"/>
    <w:basedOn w:val="DefaultParagraphFont"/>
    <w:qFormat/>
    <w:rsid w:val="0070150C"/>
    <w:rPr>
      <w:i/>
    </w:rPr>
  </w:style>
  <w:style w:type="paragraph" w:styleId="Caption">
    <w:name w:val="caption"/>
    <w:basedOn w:val="BodyText"/>
    <w:next w:val="Normal"/>
    <w:qFormat/>
    <w:rsid w:val="0070150C"/>
    <w:pPr>
      <w:framePr w:w="2268" w:hSpace="181" w:vSpace="181" w:wrap="around" w:vAnchor="text" w:hAnchor="page" w:x="1135" w:y="285" w:anchorLock="1"/>
    </w:pPr>
    <w:rPr>
      <w:i/>
    </w:rPr>
  </w:style>
  <w:style w:type="paragraph" w:customStyle="1" w:styleId="MiniTOCTitle">
    <w:name w:val="MiniTOCTitle"/>
    <w:basedOn w:val="Heading4"/>
    <w:rsid w:val="0070150C"/>
    <w:pPr>
      <w:spacing w:before="240"/>
      <w:outlineLvl w:val="9"/>
    </w:pPr>
    <w:rPr>
      <w:noProof/>
      <w:sz w:val="24"/>
    </w:rPr>
  </w:style>
  <w:style w:type="paragraph" w:customStyle="1" w:styleId="MiniTOCItem">
    <w:name w:val="MiniTOCItem"/>
    <w:basedOn w:val="ListBullet"/>
    <w:rsid w:val="0070150C"/>
    <w:pPr>
      <w:numPr>
        <w:numId w:val="0"/>
      </w:numPr>
      <w:tabs>
        <w:tab w:val="right" w:leader="dot" w:pos="6521"/>
      </w:tabs>
      <w:spacing w:before="0" w:after="0"/>
    </w:pPr>
  </w:style>
  <w:style w:type="paragraph" w:customStyle="1" w:styleId="TOFTitle">
    <w:name w:val="TOFTitle"/>
    <w:basedOn w:val="TOCTitle"/>
    <w:rsid w:val="0070150C"/>
  </w:style>
  <w:style w:type="paragraph" w:styleId="TableofFigures">
    <w:name w:val="table of figures"/>
    <w:basedOn w:val="Normal"/>
    <w:next w:val="Normal"/>
    <w:semiHidden/>
    <w:rsid w:val="0070150C"/>
    <w:pPr>
      <w:tabs>
        <w:tab w:val="right" w:leader="dot" w:pos="9072"/>
      </w:tabs>
      <w:ind w:left="970" w:hanging="403"/>
    </w:pPr>
    <w:rPr>
      <w:rFonts w:ascii="Times New Roman" w:hAnsi="Times New Roman"/>
      <w:b/>
    </w:rPr>
  </w:style>
  <w:style w:type="paragraph" w:styleId="ListNumber">
    <w:name w:val="List Number"/>
    <w:basedOn w:val="List"/>
    <w:rsid w:val="0070150C"/>
    <w:pPr>
      <w:numPr>
        <w:numId w:val="14"/>
      </w:numPr>
      <w:tabs>
        <w:tab w:val="clear" w:pos="340"/>
      </w:tabs>
    </w:pPr>
  </w:style>
  <w:style w:type="character" w:customStyle="1" w:styleId="WingdingSymbols">
    <w:name w:val="Wingding Symbols"/>
    <w:rsid w:val="0070150C"/>
    <w:rPr>
      <w:rFonts w:ascii="Wingdings" w:hAnsi="Wingdings"/>
    </w:rPr>
  </w:style>
  <w:style w:type="paragraph" w:customStyle="1" w:styleId="TableHeading">
    <w:name w:val="Table Heading"/>
    <w:basedOn w:val="HeadingBase"/>
    <w:rsid w:val="0070150C"/>
    <w:pPr>
      <w:keepLines/>
      <w:pBdr>
        <w:bottom w:val="single" w:sz="6" w:space="1" w:color="918585"/>
      </w:pBdr>
      <w:spacing w:before="240"/>
    </w:pPr>
  </w:style>
  <w:style w:type="character" w:customStyle="1" w:styleId="HotSpot">
    <w:name w:val="HotSpot"/>
    <w:rsid w:val="0070150C"/>
    <w:rPr>
      <w:color w:val="0033CC"/>
      <w:u w:val="none"/>
    </w:rPr>
  </w:style>
  <w:style w:type="paragraph" w:customStyle="1" w:styleId="BodyTextRight">
    <w:name w:val="Body Text Right"/>
    <w:basedOn w:val="BodyText"/>
    <w:rsid w:val="0070150C"/>
    <w:pPr>
      <w:spacing w:before="0" w:after="0"/>
      <w:jc w:val="right"/>
    </w:pPr>
  </w:style>
  <w:style w:type="paragraph" w:styleId="Index3">
    <w:name w:val="index 3"/>
    <w:basedOn w:val="ListNumber2"/>
    <w:next w:val="Normal"/>
    <w:semiHidden/>
    <w:rsid w:val="0070150C"/>
    <w:pPr>
      <w:numPr>
        <w:numId w:val="0"/>
      </w:numPr>
      <w:tabs>
        <w:tab w:val="right" w:leader="dot" w:pos="4176"/>
      </w:tabs>
    </w:pPr>
  </w:style>
  <w:style w:type="paragraph" w:styleId="ListNumber2">
    <w:name w:val="List Number 2"/>
    <w:basedOn w:val="List2"/>
    <w:rsid w:val="0070150C"/>
    <w:pPr>
      <w:numPr>
        <w:numId w:val="9"/>
      </w:numPr>
      <w:tabs>
        <w:tab w:val="clear" w:pos="1060"/>
      </w:tabs>
    </w:pPr>
  </w:style>
  <w:style w:type="paragraph" w:customStyle="1" w:styleId="MarginNote">
    <w:name w:val="Margin Note"/>
    <w:basedOn w:val="BodyText"/>
    <w:rsid w:val="00701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5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50C"/>
    <w:rPr>
      <w:sz w:val="32"/>
    </w:rPr>
  </w:style>
  <w:style w:type="paragraph" w:customStyle="1" w:styleId="HeadingProcedure">
    <w:name w:val="Heading Procedure"/>
    <w:basedOn w:val="HeadingBase"/>
    <w:next w:val="Normal"/>
    <w:rsid w:val="0070150C"/>
    <w:pPr>
      <w:tabs>
        <w:tab w:val="left" w:pos="0"/>
      </w:tabs>
      <w:spacing w:before="120" w:after="60"/>
    </w:pPr>
    <w:rPr>
      <w:i/>
      <w:color w:val="918585"/>
      <w:sz w:val="22"/>
    </w:rPr>
  </w:style>
  <w:style w:type="paragraph" w:customStyle="1" w:styleId="TableBodyText">
    <w:name w:val="Table Body Text"/>
    <w:basedOn w:val="BodyText"/>
    <w:rsid w:val="0070150C"/>
    <w:pPr>
      <w:spacing w:before="60" w:after="60"/>
    </w:pPr>
  </w:style>
  <w:style w:type="paragraph" w:styleId="ListContinue">
    <w:name w:val="List Continue"/>
    <w:basedOn w:val="List"/>
    <w:rsid w:val="0070150C"/>
    <w:pPr>
      <w:ind w:firstLine="0"/>
    </w:pPr>
  </w:style>
  <w:style w:type="paragraph" w:customStyle="1" w:styleId="ListNote">
    <w:name w:val="List Note"/>
    <w:basedOn w:val="List"/>
    <w:rsid w:val="0070150C"/>
    <w:pPr>
      <w:pBdr>
        <w:top w:val="single" w:sz="6" w:space="2" w:color="918585"/>
        <w:bottom w:val="single" w:sz="6" w:space="2" w:color="918585"/>
      </w:pBdr>
      <w:tabs>
        <w:tab w:val="left" w:pos="1021"/>
      </w:tabs>
      <w:ind w:firstLine="0"/>
    </w:pPr>
  </w:style>
  <w:style w:type="paragraph" w:customStyle="1" w:styleId="Warning">
    <w:name w:val="Warning"/>
    <w:basedOn w:val="BodyText"/>
    <w:rsid w:val="0070150C"/>
    <w:pPr>
      <w:shd w:val="clear" w:color="auto" w:fill="D9D9D9"/>
      <w:tabs>
        <w:tab w:val="left" w:pos="992"/>
      </w:tabs>
      <w:ind w:left="119" w:right="119"/>
    </w:pPr>
    <w:rPr>
      <w:sz w:val="20"/>
    </w:rPr>
  </w:style>
  <w:style w:type="paragraph" w:customStyle="1" w:styleId="MarginIcons">
    <w:name w:val="Margin Icons"/>
    <w:basedOn w:val="BodyText"/>
    <w:rsid w:val="00701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50C"/>
    <w:rPr>
      <w:rFonts w:ascii="Courier New" w:hAnsi="Courier New"/>
    </w:rPr>
  </w:style>
  <w:style w:type="paragraph" w:customStyle="1" w:styleId="NoteBullet">
    <w:name w:val="Note Bullet"/>
    <w:basedOn w:val="Note"/>
    <w:rsid w:val="0070150C"/>
    <w:pPr>
      <w:tabs>
        <w:tab w:val="clear" w:pos="680"/>
      </w:tabs>
      <w:spacing w:before="60" w:after="60"/>
    </w:pPr>
  </w:style>
  <w:style w:type="paragraph" w:customStyle="1" w:styleId="SubHeading2">
    <w:name w:val="SubHeading2"/>
    <w:basedOn w:val="HeadingBase"/>
    <w:rsid w:val="0070150C"/>
    <w:pPr>
      <w:spacing w:before="240" w:after="60"/>
    </w:pPr>
    <w:rPr>
      <w:sz w:val="20"/>
    </w:rPr>
  </w:style>
  <w:style w:type="paragraph" w:customStyle="1" w:styleId="SubHeading1">
    <w:name w:val="SubHeading1"/>
    <w:basedOn w:val="HeadingBase"/>
    <w:rsid w:val="0070150C"/>
    <w:pPr>
      <w:spacing w:before="240" w:after="60"/>
    </w:pPr>
    <w:rPr>
      <w:color w:val="918585"/>
      <w:sz w:val="22"/>
    </w:rPr>
  </w:style>
  <w:style w:type="paragraph" w:customStyle="1" w:styleId="SideHeading">
    <w:name w:val="Side Heading"/>
    <w:basedOn w:val="HeadingBase"/>
    <w:rsid w:val="00701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50C"/>
    <w:pPr>
      <w:numPr>
        <w:numId w:val="10"/>
      </w:numPr>
    </w:pPr>
  </w:style>
  <w:style w:type="paragraph" w:styleId="PlainText">
    <w:name w:val="Plain Text"/>
    <w:basedOn w:val="Normal"/>
    <w:link w:val="PlainTextChar"/>
    <w:rsid w:val="0070150C"/>
    <w:rPr>
      <w:sz w:val="20"/>
    </w:rPr>
  </w:style>
  <w:style w:type="character" w:customStyle="1" w:styleId="PlainTextChar">
    <w:name w:val="Plain Text Char"/>
    <w:basedOn w:val="DefaultParagraphFont"/>
    <w:link w:val="PlainText"/>
    <w:rsid w:val="0070150C"/>
    <w:rPr>
      <w:rFonts w:ascii="Courier New" w:eastAsia="Times New Roman" w:hAnsi="Courier New" w:cs="Times New Roman"/>
      <w:sz w:val="20"/>
      <w:szCs w:val="20"/>
      <w:lang w:eastAsia="en-US"/>
    </w:rPr>
  </w:style>
  <w:style w:type="character" w:customStyle="1" w:styleId="MenuOption">
    <w:name w:val="Menu Option"/>
    <w:basedOn w:val="DefaultParagraphFont"/>
    <w:rsid w:val="0070150C"/>
    <w:rPr>
      <w:b/>
      <w:smallCaps/>
    </w:rPr>
  </w:style>
  <w:style w:type="paragraph" w:customStyle="1" w:styleId="TableListNumber">
    <w:name w:val="Table List Number"/>
    <w:basedOn w:val="ListNumber"/>
    <w:rsid w:val="0070150C"/>
    <w:pPr>
      <w:numPr>
        <w:numId w:val="0"/>
      </w:numPr>
    </w:pPr>
  </w:style>
  <w:style w:type="paragraph" w:styleId="TOC4">
    <w:name w:val="toc 4"/>
    <w:basedOn w:val="TOCBase"/>
    <w:next w:val="Normal"/>
    <w:semiHidden/>
    <w:rsid w:val="0070150C"/>
    <w:pPr>
      <w:tabs>
        <w:tab w:val="right" w:leader="dot" w:pos="9071"/>
      </w:tabs>
      <w:ind w:left="1701"/>
    </w:pPr>
  </w:style>
  <w:style w:type="paragraph" w:customStyle="1" w:styleId="ListAlpha">
    <w:name w:val="List Alpha"/>
    <w:basedOn w:val="List"/>
    <w:rsid w:val="0070150C"/>
    <w:pPr>
      <w:numPr>
        <w:numId w:val="8"/>
      </w:numPr>
    </w:pPr>
  </w:style>
  <w:style w:type="paragraph" w:customStyle="1" w:styleId="ListAlpha2">
    <w:name w:val="List Alpha 2"/>
    <w:basedOn w:val="List2"/>
    <w:rsid w:val="0070150C"/>
    <w:pPr>
      <w:numPr>
        <w:numId w:val="7"/>
      </w:numPr>
    </w:pPr>
  </w:style>
  <w:style w:type="paragraph" w:styleId="List2">
    <w:name w:val="List 2"/>
    <w:basedOn w:val="BodyText"/>
    <w:rsid w:val="0070150C"/>
    <w:pPr>
      <w:tabs>
        <w:tab w:val="left" w:pos="680"/>
      </w:tabs>
      <w:spacing w:before="60" w:after="60"/>
      <w:ind w:left="680" w:hanging="340"/>
    </w:pPr>
  </w:style>
  <w:style w:type="paragraph" w:styleId="List3">
    <w:name w:val="List 3"/>
    <w:basedOn w:val="BodyText"/>
    <w:rsid w:val="0070150C"/>
    <w:pPr>
      <w:tabs>
        <w:tab w:val="left" w:pos="1021"/>
      </w:tabs>
      <w:spacing w:before="60" w:after="60"/>
      <w:ind w:left="1020" w:hanging="340"/>
    </w:pPr>
  </w:style>
  <w:style w:type="paragraph" w:styleId="List4">
    <w:name w:val="List 4"/>
    <w:basedOn w:val="BodyText"/>
    <w:rsid w:val="0070150C"/>
    <w:pPr>
      <w:tabs>
        <w:tab w:val="left" w:pos="1361"/>
      </w:tabs>
      <w:spacing w:before="60" w:after="60"/>
      <w:ind w:left="1361" w:hanging="340"/>
    </w:pPr>
  </w:style>
  <w:style w:type="paragraph" w:styleId="List5">
    <w:name w:val="List 5"/>
    <w:basedOn w:val="BodyText"/>
    <w:rsid w:val="0070150C"/>
    <w:pPr>
      <w:tabs>
        <w:tab w:val="left" w:pos="1701"/>
      </w:tabs>
      <w:spacing w:before="60" w:after="60"/>
      <w:ind w:left="1701" w:hanging="340"/>
    </w:pPr>
  </w:style>
  <w:style w:type="paragraph" w:styleId="ListBullet3">
    <w:name w:val="List Bullet 3"/>
    <w:basedOn w:val="List3"/>
    <w:rsid w:val="0070150C"/>
    <w:pPr>
      <w:numPr>
        <w:numId w:val="13"/>
      </w:numPr>
      <w:tabs>
        <w:tab w:val="clear" w:pos="1021"/>
      </w:tabs>
      <w:ind w:left="1037" w:hanging="357"/>
    </w:pPr>
  </w:style>
  <w:style w:type="paragraph" w:styleId="ListBullet4">
    <w:name w:val="List Bullet 4"/>
    <w:basedOn w:val="List4"/>
    <w:rsid w:val="0070150C"/>
    <w:pPr>
      <w:numPr>
        <w:numId w:val="2"/>
      </w:numPr>
      <w:tabs>
        <w:tab w:val="clear" w:pos="1361"/>
      </w:tabs>
    </w:pPr>
  </w:style>
  <w:style w:type="paragraph" w:styleId="ListBullet5">
    <w:name w:val="List Bullet 5"/>
    <w:basedOn w:val="List5"/>
    <w:rsid w:val="0070150C"/>
    <w:pPr>
      <w:numPr>
        <w:numId w:val="3"/>
      </w:numPr>
    </w:pPr>
  </w:style>
  <w:style w:type="paragraph" w:styleId="ListContinue2">
    <w:name w:val="List Continue 2"/>
    <w:basedOn w:val="List2"/>
    <w:rsid w:val="0070150C"/>
    <w:pPr>
      <w:ind w:firstLine="0"/>
    </w:pPr>
  </w:style>
  <w:style w:type="paragraph" w:styleId="ListContinue3">
    <w:name w:val="List Continue 3"/>
    <w:basedOn w:val="List3"/>
    <w:rsid w:val="0070150C"/>
    <w:pPr>
      <w:ind w:left="1021" w:firstLine="0"/>
    </w:pPr>
  </w:style>
  <w:style w:type="paragraph" w:styleId="ListContinue4">
    <w:name w:val="List Continue 4"/>
    <w:basedOn w:val="List4"/>
    <w:rsid w:val="0070150C"/>
    <w:pPr>
      <w:ind w:firstLine="0"/>
    </w:pPr>
  </w:style>
  <w:style w:type="paragraph" w:styleId="ListContinue5">
    <w:name w:val="List Continue 5"/>
    <w:basedOn w:val="List5"/>
    <w:rsid w:val="0070150C"/>
    <w:pPr>
      <w:ind w:firstLine="0"/>
    </w:pPr>
  </w:style>
  <w:style w:type="paragraph" w:styleId="ListNumber3">
    <w:name w:val="List Number 3"/>
    <w:basedOn w:val="List3"/>
    <w:rsid w:val="0070150C"/>
    <w:pPr>
      <w:numPr>
        <w:numId w:val="4"/>
      </w:numPr>
    </w:pPr>
  </w:style>
  <w:style w:type="paragraph" w:styleId="ListNumber4">
    <w:name w:val="List Number 4"/>
    <w:basedOn w:val="List4"/>
    <w:rsid w:val="0070150C"/>
    <w:pPr>
      <w:numPr>
        <w:numId w:val="5"/>
      </w:numPr>
    </w:pPr>
  </w:style>
  <w:style w:type="paragraph" w:styleId="ListNumber5">
    <w:name w:val="List Number 5"/>
    <w:basedOn w:val="List5"/>
    <w:rsid w:val="0070150C"/>
    <w:pPr>
      <w:numPr>
        <w:numId w:val="6"/>
      </w:numPr>
    </w:pPr>
  </w:style>
  <w:style w:type="paragraph" w:styleId="BlockText">
    <w:name w:val="Block Text"/>
    <w:basedOn w:val="Normal"/>
    <w:rsid w:val="0070150C"/>
    <w:pPr>
      <w:spacing w:after="120"/>
      <w:ind w:left="1440" w:right="1440"/>
    </w:pPr>
  </w:style>
  <w:style w:type="character" w:customStyle="1" w:styleId="Subscript">
    <w:name w:val="Subscript"/>
    <w:basedOn w:val="DefaultParagraphFont"/>
    <w:rsid w:val="0070150C"/>
    <w:rPr>
      <w:sz w:val="16"/>
      <w:vertAlign w:val="subscript"/>
    </w:rPr>
  </w:style>
  <w:style w:type="character" w:customStyle="1" w:styleId="Superscript">
    <w:name w:val="Superscript"/>
    <w:basedOn w:val="DefaultParagraphFont"/>
    <w:rsid w:val="0070150C"/>
    <w:rPr>
      <w:sz w:val="16"/>
      <w:vertAlign w:val="superscript"/>
    </w:rPr>
  </w:style>
  <w:style w:type="character" w:customStyle="1" w:styleId="Symbols">
    <w:name w:val="Symbols"/>
    <w:basedOn w:val="DefaultParagraphFont"/>
    <w:rsid w:val="0070150C"/>
    <w:rPr>
      <w:rFonts w:ascii="Symbol" w:hAnsi="Symbol"/>
    </w:rPr>
  </w:style>
  <w:style w:type="character" w:customStyle="1" w:styleId="MenuOptions">
    <w:name w:val="Menu Options"/>
    <w:basedOn w:val="DefaultParagraphFont"/>
    <w:rsid w:val="0070150C"/>
    <w:rPr>
      <w:rFonts w:ascii="Arial Narrow" w:hAnsi="Arial Narrow"/>
      <w:smallCaps/>
    </w:rPr>
  </w:style>
  <w:style w:type="character" w:customStyle="1" w:styleId="Buttons">
    <w:name w:val="Buttons"/>
    <w:basedOn w:val="DefaultParagraphFont"/>
    <w:rsid w:val="0070150C"/>
    <w:rPr>
      <w:b/>
    </w:rPr>
  </w:style>
  <w:style w:type="character" w:customStyle="1" w:styleId="Underlined">
    <w:name w:val="Underlined"/>
    <w:basedOn w:val="DefaultParagraphFont"/>
    <w:rsid w:val="0070150C"/>
    <w:rPr>
      <w:u w:val="single"/>
    </w:rPr>
  </w:style>
  <w:style w:type="paragraph" w:customStyle="1" w:styleId="TableBodyTextRight">
    <w:name w:val="Table Body Text Right"/>
    <w:basedOn w:val="TableBodyText"/>
    <w:rsid w:val="0070150C"/>
    <w:pPr>
      <w:widowControl w:val="0"/>
      <w:autoSpaceDE w:val="0"/>
      <w:autoSpaceDN w:val="0"/>
      <w:adjustRightInd w:val="0"/>
      <w:jc w:val="right"/>
    </w:pPr>
    <w:rPr>
      <w:rFonts w:cs="Arial"/>
      <w:szCs w:val="18"/>
    </w:rPr>
  </w:style>
  <w:style w:type="paragraph" w:customStyle="1" w:styleId="CopyrightText">
    <w:name w:val="Copyright Text"/>
    <w:basedOn w:val="BodyText"/>
    <w:rsid w:val="0070150C"/>
    <w:rPr>
      <w:sz w:val="18"/>
    </w:rPr>
  </w:style>
  <w:style w:type="paragraph" w:customStyle="1" w:styleId="BodySmallRight">
    <w:name w:val="Body Small Right"/>
    <w:basedOn w:val="BodyTextRight"/>
    <w:rsid w:val="0070150C"/>
    <w:rPr>
      <w:sz w:val="18"/>
      <w:szCs w:val="18"/>
    </w:rPr>
  </w:style>
  <w:style w:type="paragraph" w:customStyle="1" w:styleId="MarginEdition">
    <w:name w:val="Margin Edition"/>
    <w:basedOn w:val="MarginNote"/>
    <w:rsid w:val="0070150C"/>
    <w:pPr>
      <w:spacing w:before="0" w:after="0"/>
    </w:pPr>
    <w:rPr>
      <w:rFonts w:ascii="Times New Roman" w:hAnsi="Times New Roman"/>
      <w:color w:val="999999"/>
    </w:rPr>
  </w:style>
  <w:style w:type="paragraph" w:customStyle="1" w:styleId="Spacer">
    <w:name w:val="Spacer"/>
    <w:basedOn w:val="Normal"/>
    <w:rsid w:val="0070150C"/>
    <w:rPr>
      <w:sz w:val="2"/>
      <w:szCs w:val="2"/>
    </w:rPr>
  </w:style>
  <w:style w:type="character" w:customStyle="1" w:styleId="Small">
    <w:name w:val="Small"/>
    <w:basedOn w:val="DefaultParagraphFont"/>
    <w:rsid w:val="0070150C"/>
    <w:rPr>
      <w:sz w:val="16"/>
    </w:rPr>
  </w:style>
  <w:style w:type="paragraph" w:customStyle="1" w:styleId="WideTable">
    <w:name w:val="Wide Table"/>
    <w:basedOn w:val="Normal"/>
    <w:rsid w:val="0070150C"/>
    <w:pPr>
      <w:ind w:left="-1418"/>
    </w:pPr>
    <w:rPr>
      <w:sz w:val="2"/>
      <w:szCs w:val="2"/>
    </w:rPr>
  </w:style>
  <w:style w:type="character" w:styleId="PageNumber">
    <w:name w:val="page number"/>
    <w:basedOn w:val="DefaultParagraphFont"/>
    <w:rsid w:val="0070150C"/>
  </w:style>
  <w:style w:type="paragraph" w:styleId="Quote">
    <w:name w:val="Quote"/>
    <w:basedOn w:val="Heading1"/>
    <w:link w:val="QuoteChar"/>
    <w:qFormat/>
    <w:rsid w:val="0070150C"/>
    <w:rPr>
      <w:b w:val="0"/>
      <w:sz w:val="72"/>
      <w:szCs w:val="72"/>
      <w:lang w:val="en-NZ"/>
    </w:rPr>
  </w:style>
  <w:style w:type="character" w:customStyle="1" w:styleId="QuoteChar">
    <w:name w:val="Quote Char"/>
    <w:basedOn w:val="DefaultParagraphFont"/>
    <w:link w:val="Quote"/>
    <w:rsid w:val="00701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50C"/>
    <w:pPr>
      <w:pageBreakBefore/>
    </w:pPr>
  </w:style>
  <w:style w:type="paragraph" w:customStyle="1" w:styleId="Border">
    <w:name w:val="Border"/>
    <w:basedOn w:val="Normal"/>
    <w:qFormat/>
    <w:rsid w:val="00701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50C"/>
    <w:rPr>
      <w:b/>
      <w:bCs/>
      <w:i/>
      <w:iCs/>
      <w:color w:val="auto"/>
    </w:rPr>
  </w:style>
  <w:style w:type="paragraph" w:styleId="IntenseQuote">
    <w:name w:val="Intense Quote"/>
    <w:basedOn w:val="Normal"/>
    <w:next w:val="Normal"/>
    <w:link w:val="IntenseQuoteChar"/>
    <w:uiPriority w:val="30"/>
    <w:qFormat/>
    <w:rsid w:val="00701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5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50C"/>
    <w:rPr>
      <w:smallCaps/>
      <w:color w:val="auto"/>
      <w:u w:val="single"/>
    </w:rPr>
  </w:style>
  <w:style w:type="character" w:styleId="IntenseReference">
    <w:name w:val="Intense Reference"/>
    <w:basedOn w:val="DefaultParagraphFont"/>
    <w:uiPriority w:val="32"/>
    <w:qFormat/>
    <w:rsid w:val="0070150C"/>
    <w:rPr>
      <w:b/>
      <w:bCs/>
      <w:smallCaps/>
      <w:color w:val="auto"/>
      <w:spacing w:val="5"/>
      <w:u w:val="single"/>
    </w:rPr>
  </w:style>
  <w:style w:type="paragraph" w:customStyle="1" w:styleId="2ColumnHeading">
    <w:name w:val="2Column Heading"/>
    <w:basedOn w:val="BodyText"/>
    <w:qFormat/>
    <w:rsid w:val="0070150C"/>
    <w:pPr>
      <w:spacing w:after="60"/>
      <w:ind w:left="-2268"/>
    </w:pPr>
    <w:rPr>
      <w:b/>
    </w:rPr>
  </w:style>
  <w:style w:type="paragraph" w:customStyle="1" w:styleId="Heading1TOC">
    <w:name w:val="Heading1 TOC"/>
    <w:basedOn w:val="Normal"/>
    <w:qFormat/>
    <w:rsid w:val="0070150C"/>
    <w:pPr>
      <w:spacing w:before="240" w:after="120"/>
    </w:pPr>
    <w:rPr>
      <w:rFonts w:ascii="Times New Roman" w:hAnsi="Times New Roman"/>
      <w:b/>
      <w:sz w:val="32"/>
    </w:rPr>
  </w:style>
  <w:style w:type="paragraph" w:customStyle="1" w:styleId="Heading2TOC">
    <w:name w:val="Heading2 TOC"/>
    <w:basedOn w:val="Normal"/>
    <w:qFormat/>
    <w:rsid w:val="0070150C"/>
    <w:pPr>
      <w:spacing w:before="240" w:after="60"/>
    </w:pPr>
    <w:rPr>
      <w:rFonts w:ascii="Times New Roman" w:hAnsi="Times New Roman"/>
      <w:b/>
      <w:sz w:val="28"/>
    </w:rPr>
  </w:style>
  <w:style w:type="character" w:customStyle="1" w:styleId="Underline">
    <w:name w:val="Underline"/>
    <w:basedOn w:val="DefaultParagraphFont"/>
    <w:qFormat/>
    <w:rsid w:val="0070150C"/>
    <w:rPr>
      <w:u w:val="single"/>
    </w:rPr>
  </w:style>
  <w:style w:type="character" w:customStyle="1" w:styleId="BoldandItalics">
    <w:name w:val="Bold and Italics"/>
    <w:qFormat/>
    <w:rsid w:val="0070150C"/>
    <w:rPr>
      <w:b/>
      <w:i/>
      <w:u w:val="none"/>
    </w:rPr>
  </w:style>
  <w:style w:type="paragraph" w:styleId="BalloonText">
    <w:name w:val="Balloon Text"/>
    <w:basedOn w:val="Normal"/>
    <w:link w:val="BalloonTextChar"/>
    <w:rsid w:val="0070150C"/>
    <w:rPr>
      <w:rFonts w:ascii="Tahoma" w:hAnsi="Tahoma" w:cs="Tahoma"/>
      <w:sz w:val="16"/>
      <w:szCs w:val="16"/>
    </w:rPr>
  </w:style>
  <w:style w:type="character" w:customStyle="1" w:styleId="BalloonTextChar">
    <w:name w:val="Balloon Text Char"/>
    <w:basedOn w:val="DefaultParagraphFont"/>
    <w:link w:val="BalloonText"/>
    <w:rsid w:val="007015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5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15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50C"/>
    <w:rPr>
      <w:b/>
      <w:color w:val="660033"/>
      <w:spacing w:val="0"/>
    </w:rPr>
  </w:style>
  <w:style w:type="paragraph" w:customStyle="1" w:styleId="Nameditemlist">
    <w:name w:val="Named item list"/>
    <w:basedOn w:val="BodyText"/>
    <w:qFormat/>
    <w:rsid w:val="0070150C"/>
    <w:pPr>
      <w:tabs>
        <w:tab w:val="left" w:pos="2835"/>
      </w:tabs>
      <w:ind w:left="2835" w:hanging="2835"/>
    </w:pPr>
  </w:style>
  <w:style w:type="paragraph" w:customStyle="1" w:styleId="BodyTextnopadding">
    <w:name w:val="Body Text no padding"/>
    <w:basedOn w:val="BodyText"/>
    <w:qFormat/>
    <w:rsid w:val="0070150C"/>
    <w:pPr>
      <w:spacing w:before="0" w:after="0"/>
    </w:pPr>
  </w:style>
  <w:style w:type="paragraph" w:customStyle="1" w:styleId="BodyTextBold">
    <w:name w:val="Body Text Bold"/>
    <w:basedOn w:val="BodyText"/>
    <w:qFormat/>
    <w:rsid w:val="0070150C"/>
    <w:rPr>
      <w:b/>
    </w:rPr>
  </w:style>
  <w:style w:type="character" w:styleId="Hyperlink">
    <w:name w:val="Hyperlink"/>
    <w:basedOn w:val="DefaultParagraphFont"/>
    <w:uiPriority w:val="99"/>
    <w:unhideWhenUsed/>
    <w:rsid w:val="001D3D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8024</Characters>
  <Application>Microsoft Office Word</Application>
  <DocSecurity>0</DocSecurity>
  <Lines>297</Lines>
  <Paragraphs>158</Paragraphs>
  <ScaleCrop>false</ScaleCrop>
  <Company>Author-it Software Corporation Ltd.</Company>
  <LinksUpToDate>false</LinksUpToDate>
  <CharactersWithSpaces>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DEFEXO210 Manage explosive ordnance engineering and logistics processes</dc:title>
  <dc:subject>Approved</dc:subject>
  <dc:creator>Public Skills Australia</dc:creator>
  <cp:keywords>Release: 2</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