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6467" w:rsidP="000064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DEFEXO210 Manage explosive ordnance engineering and logistics processes</w:t>
      </w:r>
      <w:r>
        <w:fldChar w:fldCharType="end"/>
      </w:r>
    </w:p>
    <w:p w:rsidR="00006467" w:rsidP="00006467">
      <w:pPr>
        <w:pStyle w:val="Version"/>
        <w:sectPr w:rsidSect="00AF1B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F1BE7" w:rsidP="00AF1BE7">
      <w:pPr>
        <w:pStyle w:val="SuperHeading"/>
      </w:pPr>
      <w:r w:rsidRPr="00AF1BE7">
        <w:t>Assessment Requirements for DEFEXO210 Manage explosive ordnance engineering and logistics processes</w:t>
      </w:r>
    </w:p>
    <w:p w:rsidR="00000000" w:rsidRPr="00AF1BE7" w:rsidP="00AF1BE7">
      <w:pPr>
        <w:pStyle w:val="Heading1"/>
      </w:pPr>
      <w:bookmarkStart w:id="1" w:name="O_1098803"/>
      <w:bookmarkEnd w:id="1"/>
      <w:r w:rsidRPr="00AF1BE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1B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BE7">
            <w:pPr>
              <w:pStyle w:val="BodyText"/>
              <w:rPr>
                <w:lang w:val="en-NZ"/>
              </w:rPr>
            </w:pPr>
            <w:r w:rsidRPr="00AF1BE7">
              <w:t>Release 2. Modifications made to Assessment Conditions.</w:t>
            </w:r>
          </w:p>
        </w:tc>
      </w:tr>
      <w:tr w:rsidTr="00AF1B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BE7" w:rsidP="00AF1BE7">
            <w:pPr>
              <w:pStyle w:val="BodyText"/>
            </w:pPr>
            <w:r w:rsidRPr="00AF1BE7">
              <w:t>Release 1. This is the first release of this unit of competency in the DEF Defence Training Package.</w:t>
            </w:r>
          </w:p>
        </w:tc>
      </w:tr>
    </w:tbl>
    <w:p w:rsidR="00006467" w:rsidP="00AF1BE7">
      <w:pPr>
        <w:pStyle w:val="NoPaddingFontSize1"/>
      </w:pPr>
    </w:p>
    <w:p w:rsidR="00006467" w:rsidP="00AF1BE7">
      <w:pPr>
        <w:pStyle w:val="NoPaddingFontSize1"/>
      </w:pPr>
    </w:p>
    <w:p w:rsidR="00000000" w:rsidRPr="00AF1BE7" w:rsidP="00AF1BE7">
      <w:pPr>
        <w:pStyle w:val="Heading1"/>
      </w:pPr>
      <w:bookmarkStart w:id="2" w:name="O_1098802"/>
      <w:bookmarkEnd w:id="2"/>
      <w:r w:rsidRPr="00AF1BE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1B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BE7" w:rsidP="00AF1BE7">
            <w:pPr>
              <w:pStyle w:val="BodyText"/>
            </w:pPr>
            <w:r w:rsidRPr="00AF1BE7">
              <w:t>Evidence required to demonstrate competence in this unit must be relevant to and satisfy all of the requirements</w:t>
            </w:r>
            <w:r w:rsidRPr="00AF1BE7">
              <w:t xml:space="preserve"> of the elements and performance criteria on at least one occasion and include:</w:t>
            </w:r>
          </w:p>
          <w:p w:rsidR="00000000" w:rsidRPr="00AF1BE7" w:rsidP="00AF1BE7">
            <w:pPr>
              <w:pStyle w:val="ListBullet"/>
            </w:pPr>
            <w:r w:rsidRPr="00AF1BE7">
              <w:t>adjusting processes to reflect changed circumstances</w:t>
            </w:r>
          </w:p>
          <w:p w:rsidR="00000000" w:rsidRPr="00AF1BE7" w:rsidP="00AF1BE7">
            <w:pPr>
              <w:pStyle w:val="ListBullet"/>
            </w:pPr>
            <w:r w:rsidRPr="00AF1BE7">
              <w:t>communicating with supervisors, suppliers, clients and subordinates</w:t>
            </w:r>
          </w:p>
          <w:p w:rsidR="00000000" w:rsidRPr="00AF1BE7" w:rsidP="00AF1BE7">
            <w:pPr>
              <w:pStyle w:val="ListBullet"/>
            </w:pPr>
            <w:r w:rsidRPr="00AF1BE7">
              <w:t>concluding explosive ordnance processes</w:t>
            </w:r>
          </w:p>
          <w:p w:rsidR="00000000" w:rsidRPr="00AF1BE7" w:rsidP="00AF1BE7">
            <w:pPr>
              <w:pStyle w:val="ListBullet"/>
            </w:pPr>
            <w:r w:rsidRPr="00AF1BE7">
              <w:t>following safe</w:t>
            </w:r>
            <w:r w:rsidRPr="00AF1BE7">
              <w:t>ty, legislative and statutory requirements relevant to the risk assessment</w:t>
            </w:r>
          </w:p>
          <w:p w:rsidR="00000000" w:rsidRPr="00AF1BE7" w:rsidP="00AF1BE7">
            <w:pPr>
              <w:pStyle w:val="ListBullet"/>
            </w:pPr>
            <w:r w:rsidRPr="00AF1BE7">
              <w:t>identifying, interpreting and analysing risk assessment requirements relevant to explosive ordnance engineering and logistics processes</w:t>
            </w:r>
          </w:p>
          <w:p w:rsidR="00000000" w:rsidRPr="00AF1BE7" w:rsidP="00AF1BE7">
            <w:pPr>
              <w:pStyle w:val="ListBullet"/>
            </w:pPr>
            <w:r w:rsidRPr="00AF1BE7">
              <w:t>identifying, sourcing and allocating relevant resources to the processes</w:t>
            </w:r>
          </w:p>
          <w:p w:rsidR="00000000" w:rsidRPr="00AF1BE7" w:rsidP="00AF1BE7">
            <w:pPr>
              <w:pStyle w:val="ListBullet"/>
            </w:pPr>
            <w:r w:rsidRPr="00AF1BE7">
              <w:t>managing explosive ordnance processes efficiently and effectively</w:t>
            </w:r>
          </w:p>
          <w:p w:rsidR="00000000" w:rsidRPr="00AF1BE7" w:rsidP="00AF1BE7">
            <w:pPr>
              <w:pStyle w:val="ListBullet"/>
            </w:pPr>
            <w:r w:rsidRPr="00AF1BE7">
              <w:t>planning for the conduct of explosive ordnance processes</w:t>
            </w:r>
          </w:p>
          <w:p w:rsidR="00000000" w:rsidRPr="00AF1BE7" w:rsidP="00AF1BE7">
            <w:pPr>
              <w:pStyle w:val="ListBullet"/>
            </w:pPr>
            <w:r w:rsidRPr="00AF1BE7">
              <w:t>preparing complex documents, includes reports, feasibility a</w:t>
            </w:r>
            <w:r w:rsidRPr="00AF1BE7">
              <w:t>ssessments and organisational plans</w:t>
            </w:r>
          </w:p>
          <w:p w:rsidR="00000000" w:rsidRPr="00AF1BE7" w:rsidP="00AF1BE7">
            <w:pPr>
              <w:pStyle w:val="ListBullet"/>
            </w:pPr>
            <w:r w:rsidRPr="00AF1BE7">
              <w:t>using effective techniques to support teams</w:t>
            </w:r>
          </w:p>
        </w:tc>
      </w:tr>
    </w:tbl>
    <w:p w:rsidR="00000000" w:rsidRPr="00AF1BE7" w:rsidP="00AF1BE7">
      <w:pPr>
        <w:pStyle w:val="NoPaddingFontSize1"/>
      </w:pPr>
    </w:p>
    <w:p w:rsidR="00000000" w:rsidRPr="00AF1BE7" w:rsidP="00AF1BE7">
      <w:pPr>
        <w:pStyle w:val="AllowPageBreak"/>
      </w:pPr>
    </w:p>
    <w:p w:rsidR="00000000" w:rsidRPr="00AF1BE7" w:rsidP="00AF1BE7">
      <w:pPr>
        <w:pStyle w:val="Heading1"/>
      </w:pPr>
      <w:bookmarkStart w:id="3" w:name="O_1098801"/>
      <w:bookmarkEnd w:id="3"/>
      <w:r w:rsidRPr="00AF1BE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1B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BE7" w:rsidP="00AF1BE7">
            <w:pPr>
              <w:pStyle w:val="BodyText"/>
            </w:pPr>
            <w:r w:rsidRPr="00AF1BE7">
              <w:t>Evidence required to demonstrate competence in this unit must be relevant to and satisfy all of the requirements of the elements and per</w:t>
            </w:r>
            <w:r w:rsidRPr="00AF1BE7">
              <w:t>formance criteria and include knowledge of:</w:t>
            </w:r>
          </w:p>
          <w:p w:rsidR="00000000" w:rsidRPr="00AF1BE7" w:rsidP="00AF1BE7">
            <w:pPr>
              <w:pStyle w:val="ListBullet"/>
            </w:pPr>
            <w:r w:rsidRPr="00AF1BE7">
              <w:t>acquisition processes</w:t>
            </w:r>
          </w:p>
          <w:p w:rsidR="00000000" w:rsidRPr="00AF1BE7" w:rsidP="00AF1BE7">
            <w:pPr>
              <w:pStyle w:val="ListBullet"/>
            </w:pPr>
            <w:r w:rsidRPr="00AF1BE7">
              <w:t>composition of teams, and roles and responsibilities of team members</w:t>
            </w:r>
          </w:p>
          <w:p w:rsidR="00000000" w:rsidRPr="00AF1BE7" w:rsidP="00AF1BE7">
            <w:pPr>
              <w:pStyle w:val="ListBullet"/>
            </w:pPr>
            <w:r w:rsidRPr="00AF1BE7">
              <w:t>explosive ordnance engineering and logistics processes</w:t>
            </w:r>
          </w:p>
          <w:p w:rsidR="00000000" w:rsidRPr="00AF1BE7" w:rsidP="00AF1BE7">
            <w:pPr>
              <w:pStyle w:val="ListBullet"/>
            </w:pPr>
            <w:r w:rsidRPr="00AF1BE7">
              <w:t>feasibility assessment requirements</w:t>
            </w:r>
          </w:p>
          <w:p w:rsidR="00000000" w:rsidRPr="00AF1BE7" w:rsidP="00AF1BE7">
            <w:pPr>
              <w:pStyle w:val="ListBullet"/>
            </w:pPr>
            <w:r w:rsidRPr="00AF1BE7">
              <w:t>instructions and procedures relating to the performance of the processes</w:t>
            </w:r>
          </w:p>
          <w:p w:rsidR="00000000" w:rsidRPr="00AF1BE7" w:rsidP="00AF1BE7">
            <w:pPr>
              <w:pStyle w:val="ListBullet"/>
            </w:pPr>
            <w:r w:rsidRPr="00AF1BE7">
              <w:t>inventory control</w:t>
            </w:r>
          </w:p>
          <w:p w:rsidR="00000000" w:rsidRPr="00AF1BE7" w:rsidP="00AF1BE7">
            <w:pPr>
              <w:pStyle w:val="ListBullet"/>
            </w:pPr>
            <w:r w:rsidRPr="00AF1BE7">
              <w:t>operational safety associated with the explosive ordnance process</w:t>
            </w:r>
          </w:p>
          <w:p w:rsidR="00000000" w:rsidRPr="00AF1BE7" w:rsidP="00AF1BE7">
            <w:pPr>
              <w:pStyle w:val="ListBullet"/>
            </w:pPr>
            <w:r w:rsidRPr="00AF1BE7">
              <w:t>organisational procedures for budgets and financial management</w:t>
            </w:r>
          </w:p>
          <w:p w:rsidR="00000000" w:rsidRPr="00AF1BE7" w:rsidP="00AF1BE7">
            <w:pPr>
              <w:pStyle w:val="ListBullet"/>
            </w:pPr>
            <w:r w:rsidRPr="00AF1BE7">
              <w:t>relevant legislation, organisational</w:t>
            </w:r>
            <w:r w:rsidRPr="00AF1BE7">
              <w:t xml:space="preserve"> policies, procedures and instructions, including work health and safety</w:t>
            </w:r>
          </w:p>
          <w:p w:rsidR="00000000" w:rsidRPr="00AF1BE7" w:rsidP="00AF1BE7">
            <w:pPr>
              <w:pStyle w:val="ListBullet"/>
            </w:pPr>
            <w:r w:rsidRPr="00AF1BE7">
              <w:t>relevant organisational reporting requirements and procedures</w:t>
            </w:r>
          </w:p>
          <w:p w:rsidR="00000000" w:rsidRPr="00AF1BE7" w:rsidP="00AF1BE7">
            <w:pPr>
              <w:pStyle w:val="ListBullet"/>
            </w:pPr>
            <w:r w:rsidRPr="00AF1BE7">
              <w:t>resource and other requirements for the engineering and logistics processes</w:t>
            </w:r>
          </w:p>
        </w:tc>
      </w:tr>
    </w:tbl>
    <w:p w:rsidR="00000000" w:rsidRPr="00AF1BE7" w:rsidP="00AF1BE7">
      <w:pPr>
        <w:pStyle w:val="NoPaddingFontSize1"/>
      </w:pPr>
    </w:p>
    <w:p w:rsidR="00000000" w:rsidRPr="00AF1BE7" w:rsidP="00AF1BE7">
      <w:pPr>
        <w:pStyle w:val="AllowPageBreak"/>
      </w:pPr>
    </w:p>
    <w:p w:rsidR="00000000" w:rsidRPr="00AF1BE7" w:rsidP="00AF1BE7">
      <w:pPr>
        <w:pStyle w:val="Heading1"/>
      </w:pPr>
      <w:bookmarkStart w:id="4" w:name="O_1098800"/>
      <w:bookmarkEnd w:id="4"/>
      <w:r w:rsidRPr="00AF1BE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1B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BE7" w:rsidP="00AF1BE7">
            <w:pPr>
              <w:pStyle w:val="BodyText"/>
            </w:pPr>
            <w:r w:rsidRPr="00AF1BE7">
              <w:t>As</w:t>
            </w:r>
            <w:r w:rsidRPr="00AF1BE7">
              <w:t>sessors must hold credentials specified within the Standards for Registered Training Organisations current at the time of assessment.</w:t>
            </w:r>
          </w:p>
          <w:p w:rsidR="00000000" w:rsidRPr="00AF1BE7" w:rsidP="00AF1BE7">
            <w:pPr>
              <w:pStyle w:val="BodyText"/>
            </w:pPr>
            <w:r w:rsidRPr="00AF1BE7">
              <w:t>Assessment must satisfy the Principles of Assessment and Rules of Evidence and all regulatory requirements included within</w:t>
            </w:r>
            <w:r w:rsidRPr="00AF1BE7">
              <w:t xml:space="preserve"> the Standards for Registered Training Organisations current at the time of assessment.</w:t>
            </w:r>
          </w:p>
          <w:p w:rsidR="00000000" w:rsidRPr="00AF1BE7" w:rsidP="00AF1BE7">
            <w:pPr>
              <w:pStyle w:val="BodyText"/>
            </w:pPr>
            <w:r w:rsidRPr="00AF1BE7">
              <w:t>Assessment must occur in workplace operational situations. Where this is not appropriate, assessment must occur in simulated workplace operational situations that refle</w:t>
            </w:r>
            <w:r w:rsidRPr="00AF1BE7">
              <w:t>ct workplace conditions.</w:t>
            </w:r>
          </w:p>
          <w:p w:rsidR="00000000" w:rsidRPr="00AF1BE7" w:rsidP="00AF1BE7">
            <w:pPr>
              <w:pStyle w:val="BodyText"/>
            </w:pPr>
            <w:r w:rsidRPr="00AF1BE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F1BE7" w:rsidP="00AF1BE7">
            <w:pPr>
              <w:pStyle w:val="BodyText"/>
            </w:pPr>
            <w:r w:rsidRPr="00AF1BE7">
              <w:t>Resources for assessment must include access to:</w:t>
            </w:r>
          </w:p>
          <w:p w:rsidR="00000000" w:rsidRPr="00AF1BE7" w:rsidP="00AF1BE7">
            <w:pPr>
              <w:pStyle w:val="ListBullet"/>
            </w:pPr>
            <w:r w:rsidRPr="00AF1BE7">
              <w:tab/>
            </w:r>
            <w:r w:rsidRPr="00AF1BE7">
              <w:t xml:space="preserve">a range of relevant exercises, case studies and/or simulations </w:t>
            </w:r>
          </w:p>
          <w:p w:rsidR="00000000" w:rsidRPr="00AF1BE7" w:rsidP="00AF1BE7">
            <w:pPr>
              <w:pStyle w:val="ListBullet"/>
            </w:pPr>
            <w:r w:rsidRPr="00AF1BE7">
              <w:tab/>
              <w:t xml:space="preserve">acceptable means of simulation assessment </w:t>
            </w:r>
          </w:p>
          <w:p w:rsidR="00000000" w:rsidRPr="00AF1BE7" w:rsidP="00AF1BE7">
            <w:pPr>
              <w:pStyle w:val="ListBullet"/>
            </w:pPr>
            <w:r w:rsidRPr="00AF1BE7">
              <w:tab/>
              <w:t xml:space="preserve">applicable documentation, including workplace procedures, regulations, codes of practice and operation manuals </w:t>
            </w:r>
          </w:p>
          <w:p w:rsidR="00000000" w:rsidRPr="00AF1BE7" w:rsidP="00AF1BE7">
            <w:pPr>
              <w:pStyle w:val="ListBullet"/>
            </w:pPr>
            <w:r w:rsidRPr="00AF1BE7">
              <w:tab/>
              <w:t>relevant materials, tools, equipme</w:t>
            </w:r>
            <w:r w:rsidRPr="00AF1BE7">
              <w:t>nt and PPE currently used in industry.</w:t>
            </w:r>
          </w:p>
        </w:tc>
      </w:tr>
    </w:tbl>
    <w:p w:rsidR="00006467" w:rsidP="00AF1BE7">
      <w:pPr>
        <w:pStyle w:val="NoPaddingFontSize1"/>
      </w:pPr>
    </w:p>
    <w:p w:rsidR="00006467" w:rsidP="00AF1BE7">
      <w:pPr>
        <w:pStyle w:val="NoPaddingFontSize1"/>
      </w:pPr>
    </w:p>
    <w:p w:rsidR="00000000" w:rsidRPr="00AF1BE7" w:rsidP="00AF1BE7">
      <w:pPr>
        <w:pStyle w:val="Heading1"/>
      </w:pPr>
      <w:bookmarkStart w:id="5" w:name="O_1098815"/>
      <w:bookmarkEnd w:id="5"/>
      <w:r w:rsidRPr="00AF1BE7">
        <w:t>Links</w:t>
      </w:r>
    </w:p>
    <w:p w:rsidR="00000000" w:rsidRPr="00AF1BE7" w:rsidP="00006467">
      <w:pPr>
        <w:pStyle w:val="BodyText"/>
      </w:pPr>
      <w:r w:rsidRPr="00AF1B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105669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AF1BE7" w:rsidP="00AF1BE7"/>
    <w:sectPr w:rsidSect="00AF1B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B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BE7" w:rsidRPr="00006467" w:rsidP="000064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B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467" w:rsidP="00AF1B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6467" w:rsidP="00AF1B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06467" w:rsidP="00AF1B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B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4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1BE7" w:rsidRPr="00006467" w:rsidP="000064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B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467" w:rsidRPr="002D2AF8" w:rsidP="00AF1B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DEFEXO210 Manage explosive ordnance engineering and logistics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006467" w:rsidP="00AF1B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14BE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FEA4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B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1B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1B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1B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1B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1B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1B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1B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1B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1B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1B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1BE7"/>
  </w:style>
  <w:style w:type="character" w:customStyle="1" w:styleId="Heading1Char">
    <w:name w:val="Heading 1 Char"/>
    <w:basedOn w:val="DefaultParagraphFont"/>
    <w:link w:val="Heading1"/>
    <w:rsid w:val="00AF1B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1B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1B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1BE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F1B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1B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F1B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1B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1B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1B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1B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1B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1B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1B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1B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1B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1B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1B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1B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1B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1B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1B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1B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1B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1B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1B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1BE7"/>
    <w:rPr>
      <w:b/>
      <w:spacing w:val="0"/>
    </w:rPr>
  </w:style>
  <w:style w:type="paragraph" w:customStyle="1" w:styleId="SuperTitle">
    <w:name w:val="SuperTitle"/>
    <w:basedOn w:val="Title"/>
    <w:rsid w:val="00AF1B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1B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1B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1B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1B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1B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1B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1B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1B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1B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1B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1B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1B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1BE7"/>
    <w:rPr>
      <w:i/>
    </w:rPr>
  </w:style>
  <w:style w:type="paragraph" w:styleId="Caption">
    <w:name w:val="caption"/>
    <w:basedOn w:val="BodyText"/>
    <w:next w:val="Normal"/>
    <w:qFormat/>
    <w:rsid w:val="00AF1B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1B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1B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1BE7"/>
  </w:style>
  <w:style w:type="paragraph" w:styleId="TableofFigures">
    <w:name w:val="table of figures"/>
    <w:basedOn w:val="Normal"/>
    <w:next w:val="Normal"/>
    <w:semiHidden/>
    <w:rsid w:val="00AF1B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1B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1BE7"/>
    <w:rPr>
      <w:rFonts w:ascii="Wingdings" w:hAnsi="Wingdings"/>
    </w:rPr>
  </w:style>
  <w:style w:type="paragraph" w:customStyle="1" w:styleId="TableHeading">
    <w:name w:val="Table Heading"/>
    <w:basedOn w:val="HeadingBase"/>
    <w:rsid w:val="00AF1B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1BE7"/>
    <w:rPr>
      <w:color w:val="0033CC"/>
      <w:u w:val="none"/>
    </w:rPr>
  </w:style>
  <w:style w:type="paragraph" w:customStyle="1" w:styleId="BodyTextRight">
    <w:name w:val="Body Text Right"/>
    <w:basedOn w:val="BodyText"/>
    <w:rsid w:val="00AF1B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1B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1B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1B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1B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1B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1BE7"/>
    <w:rPr>
      <w:sz w:val="32"/>
    </w:rPr>
  </w:style>
  <w:style w:type="paragraph" w:customStyle="1" w:styleId="HeadingProcedure">
    <w:name w:val="Heading Procedure"/>
    <w:basedOn w:val="HeadingBase"/>
    <w:next w:val="Normal"/>
    <w:rsid w:val="00AF1B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1BE7"/>
    <w:pPr>
      <w:spacing w:before="60" w:after="60"/>
    </w:pPr>
  </w:style>
  <w:style w:type="paragraph" w:styleId="ListContinue">
    <w:name w:val="List Continue"/>
    <w:basedOn w:val="List"/>
    <w:rsid w:val="00AF1BE7"/>
    <w:pPr>
      <w:ind w:firstLine="0"/>
    </w:pPr>
  </w:style>
  <w:style w:type="paragraph" w:customStyle="1" w:styleId="ListNote">
    <w:name w:val="List Note"/>
    <w:basedOn w:val="List"/>
    <w:rsid w:val="00AF1B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1B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1B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1BE7"/>
    <w:rPr>
      <w:rFonts w:ascii="Courier New" w:hAnsi="Courier New"/>
    </w:rPr>
  </w:style>
  <w:style w:type="paragraph" w:customStyle="1" w:styleId="NoteBullet">
    <w:name w:val="Note Bullet"/>
    <w:basedOn w:val="Note"/>
    <w:rsid w:val="00AF1B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1B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1B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1B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1B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1B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1B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1BE7"/>
    <w:rPr>
      <w:b/>
      <w:smallCaps/>
    </w:rPr>
  </w:style>
  <w:style w:type="paragraph" w:customStyle="1" w:styleId="TableListNumber">
    <w:name w:val="Table List Number"/>
    <w:basedOn w:val="ListNumber"/>
    <w:rsid w:val="00AF1B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1B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1BE7"/>
    <w:pPr>
      <w:numPr>
        <w:numId w:val="8"/>
      </w:numPr>
    </w:pPr>
  </w:style>
  <w:style w:type="paragraph" w:customStyle="1" w:styleId="ListAlpha2">
    <w:name w:val="List Alpha 2"/>
    <w:basedOn w:val="List2"/>
    <w:rsid w:val="00AF1BE7"/>
    <w:pPr>
      <w:numPr>
        <w:numId w:val="7"/>
      </w:numPr>
    </w:pPr>
  </w:style>
  <w:style w:type="paragraph" w:styleId="List2">
    <w:name w:val="List 2"/>
    <w:basedOn w:val="BodyText"/>
    <w:rsid w:val="00AF1B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1B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1B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1B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1B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1B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1BE7"/>
    <w:pPr>
      <w:numPr>
        <w:numId w:val="3"/>
      </w:numPr>
    </w:pPr>
  </w:style>
  <w:style w:type="paragraph" w:styleId="ListContinue2">
    <w:name w:val="List Continue 2"/>
    <w:basedOn w:val="List2"/>
    <w:rsid w:val="00AF1BE7"/>
    <w:pPr>
      <w:ind w:firstLine="0"/>
    </w:pPr>
  </w:style>
  <w:style w:type="paragraph" w:styleId="ListContinue3">
    <w:name w:val="List Continue 3"/>
    <w:basedOn w:val="List3"/>
    <w:rsid w:val="00AF1BE7"/>
    <w:pPr>
      <w:ind w:left="1021" w:firstLine="0"/>
    </w:pPr>
  </w:style>
  <w:style w:type="paragraph" w:styleId="ListContinue4">
    <w:name w:val="List Continue 4"/>
    <w:basedOn w:val="List4"/>
    <w:rsid w:val="00AF1BE7"/>
    <w:pPr>
      <w:ind w:firstLine="0"/>
    </w:pPr>
  </w:style>
  <w:style w:type="paragraph" w:styleId="ListContinue5">
    <w:name w:val="List Continue 5"/>
    <w:basedOn w:val="List5"/>
    <w:rsid w:val="00AF1BE7"/>
    <w:pPr>
      <w:ind w:firstLine="0"/>
    </w:pPr>
  </w:style>
  <w:style w:type="paragraph" w:styleId="ListNumber3">
    <w:name w:val="List Number 3"/>
    <w:basedOn w:val="List3"/>
    <w:rsid w:val="00AF1BE7"/>
    <w:pPr>
      <w:numPr>
        <w:numId w:val="4"/>
      </w:numPr>
    </w:pPr>
  </w:style>
  <w:style w:type="paragraph" w:styleId="ListNumber4">
    <w:name w:val="List Number 4"/>
    <w:basedOn w:val="List4"/>
    <w:rsid w:val="00AF1BE7"/>
    <w:pPr>
      <w:numPr>
        <w:numId w:val="5"/>
      </w:numPr>
    </w:pPr>
  </w:style>
  <w:style w:type="paragraph" w:styleId="ListNumber5">
    <w:name w:val="List Number 5"/>
    <w:basedOn w:val="List5"/>
    <w:rsid w:val="00AF1BE7"/>
    <w:pPr>
      <w:numPr>
        <w:numId w:val="6"/>
      </w:numPr>
    </w:pPr>
  </w:style>
  <w:style w:type="paragraph" w:styleId="BlockText">
    <w:name w:val="Block Text"/>
    <w:basedOn w:val="Normal"/>
    <w:rsid w:val="00AF1B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1B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1BE7"/>
    <w:rPr>
      <w:sz w:val="16"/>
      <w:vertAlign w:val="superscript"/>
    </w:rPr>
  </w:style>
  <w:style w:type="character" w:customStyle="1" w:styleId="Symbols">
    <w:name w:val="Symbols"/>
    <w:basedOn w:val="DefaultParagraphFont"/>
    <w:rsid w:val="00AF1BE7"/>
    <w:rPr>
      <w:rFonts w:ascii="Symbol" w:hAnsi="Symbol"/>
    </w:rPr>
  </w:style>
  <w:style w:type="character" w:customStyle="1" w:styleId="MenuOptions">
    <w:name w:val="Menu Options"/>
    <w:basedOn w:val="DefaultParagraphFont"/>
    <w:rsid w:val="00AF1B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1BE7"/>
    <w:rPr>
      <w:b/>
    </w:rPr>
  </w:style>
  <w:style w:type="character" w:customStyle="1" w:styleId="Underlined">
    <w:name w:val="Underlined"/>
    <w:basedOn w:val="DefaultParagraphFont"/>
    <w:rsid w:val="00AF1BE7"/>
    <w:rPr>
      <w:u w:val="single"/>
    </w:rPr>
  </w:style>
  <w:style w:type="paragraph" w:customStyle="1" w:styleId="TableBodyTextRight">
    <w:name w:val="Table Body Text Right"/>
    <w:basedOn w:val="TableBodyText"/>
    <w:rsid w:val="00AF1B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1BE7"/>
    <w:rPr>
      <w:sz w:val="18"/>
    </w:rPr>
  </w:style>
  <w:style w:type="paragraph" w:customStyle="1" w:styleId="BodySmallRight">
    <w:name w:val="Body Small Right"/>
    <w:basedOn w:val="BodyTextRight"/>
    <w:rsid w:val="00AF1BE7"/>
    <w:rPr>
      <w:sz w:val="18"/>
      <w:szCs w:val="18"/>
    </w:rPr>
  </w:style>
  <w:style w:type="paragraph" w:customStyle="1" w:styleId="MarginEdition">
    <w:name w:val="Margin Edition"/>
    <w:basedOn w:val="MarginNote"/>
    <w:rsid w:val="00AF1B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1BE7"/>
    <w:rPr>
      <w:sz w:val="2"/>
      <w:szCs w:val="2"/>
    </w:rPr>
  </w:style>
  <w:style w:type="character" w:customStyle="1" w:styleId="Small">
    <w:name w:val="Small"/>
    <w:basedOn w:val="DefaultParagraphFont"/>
    <w:rsid w:val="00AF1BE7"/>
    <w:rPr>
      <w:sz w:val="16"/>
    </w:rPr>
  </w:style>
  <w:style w:type="paragraph" w:customStyle="1" w:styleId="WideTable">
    <w:name w:val="Wide Table"/>
    <w:basedOn w:val="Normal"/>
    <w:rsid w:val="00AF1B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1BE7"/>
  </w:style>
  <w:style w:type="paragraph" w:styleId="Quote">
    <w:name w:val="Quote"/>
    <w:basedOn w:val="Heading1"/>
    <w:link w:val="QuoteChar"/>
    <w:qFormat/>
    <w:rsid w:val="00AF1B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1B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1BE7"/>
    <w:pPr>
      <w:pageBreakBefore/>
    </w:pPr>
  </w:style>
  <w:style w:type="paragraph" w:customStyle="1" w:styleId="Border">
    <w:name w:val="Border"/>
    <w:basedOn w:val="Normal"/>
    <w:qFormat/>
    <w:rsid w:val="00AF1B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1B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1B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1B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1B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1B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1B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1B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1B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1BE7"/>
    <w:rPr>
      <w:u w:val="single"/>
    </w:rPr>
  </w:style>
  <w:style w:type="character" w:customStyle="1" w:styleId="BoldandItalics">
    <w:name w:val="Bold and Italics"/>
    <w:qFormat/>
    <w:rsid w:val="00AF1BE7"/>
    <w:rPr>
      <w:b/>
      <w:i/>
      <w:u w:val="none"/>
    </w:rPr>
  </w:style>
  <w:style w:type="paragraph" w:styleId="BalloonText">
    <w:name w:val="Balloon Text"/>
    <w:basedOn w:val="Normal"/>
    <w:link w:val="BalloonTextChar"/>
    <w:rsid w:val="00AF1B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1B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1B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1B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1B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1B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1BE7"/>
    <w:pPr>
      <w:spacing w:before="0" w:after="0"/>
    </w:pPr>
  </w:style>
  <w:style w:type="paragraph" w:customStyle="1" w:styleId="BodyTextBold">
    <w:name w:val="Body Text Bold"/>
    <w:basedOn w:val="BodyText"/>
    <w:qFormat/>
    <w:rsid w:val="00AF1BE7"/>
    <w:rPr>
      <w:b/>
    </w:rPr>
  </w:style>
  <w:style w:type="character" w:styleId="Hyperlink">
    <w:name w:val="Hyperlink"/>
    <w:basedOn w:val="DefaultParagraphFont"/>
    <w:uiPriority w:val="99"/>
    <w:unhideWhenUsed/>
    <w:rsid w:val="000064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446</Words>
  <Characters>3136</Characters>
  <Application>Microsoft Office Word</Application>
  <DocSecurity>0</DocSecurity>
  <Lines>72</Lines>
  <Paragraphs>51</Paragraphs>
  <ScaleCrop>false</ScaleCrop>
  <Company>Author-it Software Corporation Ltd.</Company>
  <LinksUpToDate>false</LinksUpToDate>
  <CharactersWithSpaces>3531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DEFEXO210 Manage explosive ordnance engineering and logistics processes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2024-11-07T12:31:00Z</dcterms:created>
  <dcterms:modified xsi:type="dcterms:W3CDTF">2024-11-07T12:31:00Z</dcterms:modified>
</cp:coreProperties>
</file>