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BE5" w:rsidP="00671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DEFEXO151 Acquire data related to pressure</w:t>
      </w:r>
      <w:r>
        <w:fldChar w:fldCharType="end"/>
      </w:r>
    </w:p>
    <w:p w:rsidR="00671BE5" w:rsidP="00671BE5">
      <w:pPr>
        <w:pStyle w:val="Version"/>
        <w:sectPr w:rsidSect="007A5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560B" w:rsidP="007A560B">
      <w:pPr>
        <w:pStyle w:val="SuperHeading"/>
      </w:pPr>
      <w:r w:rsidRPr="007A560B">
        <w:t>DEFEXO151 Acquire data related to pressure</w:t>
      </w:r>
    </w:p>
    <w:p w:rsidR="00000000" w:rsidRPr="007A560B" w:rsidP="007A560B">
      <w:pPr>
        <w:pStyle w:val="Heading1"/>
      </w:pPr>
      <w:bookmarkStart w:id="1" w:name="O_1098556"/>
      <w:bookmarkEnd w:id="1"/>
      <w:r w:rsidRPr="007A56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Release 2. Modifications made to Foundation Skills and Assessment Conditions.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Release 1. This unit was released in DEF Defence Training Package release 1.0 and meets the Standards for Training Packages.</w:t>
            </w:r>
          </w:p>
          <w:p w:rsidR="00000000" w:rsidRPr="007A560B" w:rsidP="007A560B">
            <w:pPr>
              <w:pStyle w:val="BodyText"/>
            </w:pPr>
            <w:r w:rsidRPr="007A560B">
              <w:t>This unit supersedes and is equ</w:t>
            </w:r>
            <w:r w:rsidRPr="007A560B">
              <w:t>ivalent to DEFEO810A Acquire data related to pressure.</w:t>
            </w:r>
          </w:p>
          <w:p w:rsidR="00000000" w:rsidRPr="007A560B" w:rsidP="007A560B">
            <w:pPr>
              <w:pStyle w:val="ListBullet"/>
            </w:pPr>
            <w:r w:rsidRPr="007A560B">
              <w:t>Unit code updated</w:t>
            </w:r>
          </w:p>
          <w:p w:rsidR="00000000" w:rsidRPr="007A560B" w:rsidP="007A560B">
            <w:pPr>
              <w:pStyle w:val="ListBullet"/>
            </w:pPr>
            <w:r w:rsidRPr="007A560B">
              <w:t>Content and formatting updated to comply with the new standards</w:t>
            </w:r>
          </w:p>
          <w:p w:rsidR="00000000" w:rsidRPr="007A560B" w:rsidP="007A560B">
            <w:pPr>
              <w:pStyle w:val="ListBullet"/>
            </w:pPr>
            <w:r w:rsidRPr="007A560B">
              <w:t>All PC transitioned from passive to active voice</w:t>
            </w:r>
          </w:p>
          <w:p w:rsidR="00000000" w:rsidRPr="007A560B" w:rsidP="007A560B">
            <w:pPr>
              <w:pStyle w:val="ListBullet"/>
            </w:pPr>
            <w:r w:rsidRPr="007A560B">
              <w:t>PC 1.5 and 2.5 removed</w:t>
            </w:r>
          </w:p>
          <w:p w:rsidR="00000000" w:rsidRPr="007A560B" w:rsidP="007A560B">
            <w:pPr>
              <w:pStyle w:val="ListBullet"/>
            </w:pPr>
            <w:r w:rsidRPr="007A560B">
              <w:t>PC 3.1 and 3.2 merged</w:t>
            </w:r>
          </w:p>
          <w:p w:rsidR="00000000" w:rsidRPr="007A560B" w:rsidP="007A560B">
            <w:pPr>
              <w:pStyle w:val="ListBullet"/>
            </w:pPr>
            <w:r w:rsidRPr="007A560B">
              <w:t>Element 1 one new PC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2" w:name="O_1098555"/>
      <w:bookmarkEnd w:id="2"/>
      <w:r w:rsidRPr="007A56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 xml:space="preserve">This unit describes the skills required to acquire data related to pressure in a proof and experimental environment. Explosive ordnance proof tests </w:t>
            </w:r>
            <w:r w:rsidRPr="007A560B">
              <w:t>are conducted to ensure weapons systems or explosive ordnance in service with Defence meets the required standards. The acquisition of data related to pressure is a common component of proof tests.</w:t>
            </w:r>
          </w:p>
          <w:p w:rsidR="00000000" w:rsidRPr="007A560B" w:rsidP="007A560B">
            <w:pPr>
              <w:pStyle w:val="BodyText"/>
            </w:pPr>
            <w:r w:rsidRPr="007A560B">
              <w:t>This unit was developed for personnel involved in a physic</w:t>
            </w:r>
            <w:r w:rsidRPr="007A560B">
              <w:t>al science or engineering environment where products undergo testing to establish that they meet established standards and/or specifications in respect to pressure, but is applicable to any individual in this field of work.</w:t>
            </w:r>
          </w:p>
          <w:p w:rsidR="00000000" w:rsidRPr="007A560B" w:rsidP="007A560B">
            <w:pPr>
              <w:pStyle w:val="BodyText"/>
            </w:pPr>
            <w:r w:rsidRPr="007A560B">
              <w:t>The skills and knowledge describ</w:t>
            </w:r>
            <w:r w:rsidRPr="007A560B">
              <w:t>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7A560B" w:rsidP="007A560B">
            <w:pPr>
              <w:pStyle w:val="BodyText"/>
            </w:pPr>
            <w:r w:rsidRPr="007A560B">
              <w:t>Those undertaking this unit must demonstrate the ability to wo</w:t>
            </w:r>
            <w:r w:rsidRPr="007A560B">
              <w:t>rk independently and as part of a team under direct and/or indirect supervision, use discretion and judgement, and take responsibility for the quality of their output. They would perform complex tasks in a range of known contexts.</w:t>
            </w:r>
          </w:p>
          <w:p w:rsidR="00000000" w:rsidRPr="007A560B" w:rsidP="007A560B">
            <w:pPr>
              <w:pStyle w:val="BodyText"/>
            </w:pPr>
            <w:r w:rsidRPr="007A560B">
              <w:t>No licensing, legislative</w:t>
            </w:r>
            <w:r w:rsidRPr="007A560B">
              <w:t xml:space="preserve"> or certification requirements apply to unit at the time of publication.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3" w:name="O_1112357"/>
      <w:bookmarkEnd w:id="3"/>
      <w:r w:rsidRPr="007A56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Not applicable.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4" w:name="O_1098554"/>
      <w:bookmarkEnd w:id="4"/>
      <w:r w:rsidRPr="007A56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Explosive Ordnance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5" w:name="O_1112358"/>
      <w:bookmarkEnd w:id="5"/>
      <w:r w:rsidRPr="007A56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Not applicable.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6" w:name="O_1098553"/>
      <w:bookmarkEnd w:id="6"/>
      <w:r w:rsidRPr="007A56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PERFORMANCE CRITERIA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Performance criteria describe the performance needed to demonstrate achievement of the element.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Prepare for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Obtain and confirm test plan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Brief stakeholders and test participants in accordance with the test plan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Check and initiate safety systems and procedures in accordance with test plan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Schedule key activities and timelines with full consideration to the specification and available resources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Comply with and record administrative and legal requirements for data collection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Communicate responsibilities to staff to ensure clarit</w:t>
            </w:r>
            <w:r w:rsidRPr="007A560B">
              <w:t>y of understanding of the work and to provide a basis for ongoing assessment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Select and install data collection equipment in accordance with the data collection plan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Operate equipment according to manufacturer’</w:t>
            </w:r>
            <w:r w:rsidRPr="007A560B">
              <w:t>s specification, statutory and organisational policies and guidelines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Collect data using methodologies detailed in the data collection plan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Document metadata according to accepted industry standards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Identify and plan for discrepancies between specification and actual activities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rPr>
                <w:rStyle w:val="SpecialBold"/>
              </w:rPr>
              <w:t>Finalise the collection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t>Complete and store data and documentation</w:t>
            </w:r>
          </w:p>
        </w:tc>
      </w:tr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0B">
            <w:pPr>
              <w:pStyle w:val="BodyText"/>
              <w:rPr>
                <w:lang w:val="en-NZ"/>
              </w:rPr>
            </w:pPr>
            <w:r w:rsidRPr="007A56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Check data integrity in accordance with the validation plan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7" w:name="O_1098552"/>
      <w:bookmarkEnd w:id="7"/>
      <w:r w:rsidRPr="007A56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Foundation skills essential to performance are explicit in the performance criteria of this unit of competency.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8" w:name="O_1112359"/>
      <w:bookmarkEnd w:id="8"/>
      <w:r w:rsidRPr="007A56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Range is restricted to essential operating conditions and any other variables essential to the work environment.</w:t>
            </w:r>
          </w:p>
          <w:p w:rsidR="00000000" w:rsidRPr="007A560B" w:rsidP="007A560B">
            <w:pPr>
              <w:pStyle w:val="BodyText"/>
            </w:pPr>
            <w:r w:rsidRPr="007A560B">
              <w:t>Non-essential conditions may be found in the Companion Volume Implementation Guide.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9" w:name="O_1098551"/>
      <w:bookmarkEnd w:id="9"/>
      <w:r w:rsidRPr="007A56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0B" w:rsidP="007A560B">
            <w:pPr>
              <w:pStyle w:val="BodyText"/>
            </w:pPr>
            <w:r w:rsidRPr="007A560B">
              <w:t>This unit su</w:t>
            </w:r>
            <w:r w:rsidRPr="007A560B">
              <w:t>persedes and is equivalent to DEFEO810A Acquire data related to pressure.</w:t>
            </w:r>
          </w:p>
        </w:tc>
      </w:tr>
    </w:tbl>
    <w:p w:rsidR="00671BE5" w:rsidP="007A560B">
      <w:pPr>
        <w:pStyle w:val="NoPaddingFontSize1"/>
      </w:pPr>
    </w:p>
    <w:p w:rsidR="00671BE5" w:rsidP="007A560B">
      <w:pPr>
        <w:pStyle w:val="NoPaddingFontSize1"/>
      </w:pPr>
    </w:p>
    <w:p w:rsidR="00000000" w:rsidRPr="007A560B" w:rsidP="007A560B">
      <w:pPr>
        <w:pStyle w:val="Heading1"/>
      </w:pPr>
      <w:bookmarkStart w:id="10" w:name="O_1098557"/>
      <w:bookmarkEnd w:id="10"/>
      <w:r w:rsidRPr="007A560B">
        <w:t>Links</w:t>
      </w:r>
    </w:p>
    <w:p w:rsidR="00000000" w:rsidRPr="007A560B" w:rsidP="00671BE5">
      <w:pPr>
        <w:pStyle w:val="BodyText"/>
      </w:pPr>
      <w:r w:rsidRPr="007A56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E4C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A560B" w:rsidP="007A560B"/>
    <w:sectPr w:rsidSect="007A56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0B" w:rsidRPr="00671BE5" w:rsidP="00671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E5" w:rsidP="007A5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BE5" w:rsidP="007A5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71BE5" w:rsidP="007A5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60B" w:rsidRPr="00671BE5" w:rsidP="00671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E5" w:rsidRPr="002D2AF8" w:rsidP="007A5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DEFEXO151 Acquire data related to pressure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71BE5" w:rsidP="007A5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04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806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60B"/>
  </w:style>
  <w:style w:type="character" w:customStyle="1" w:styleId="Heading1Char">
    <w:name w:val="Heading 1 Char"/>
    <w:basedOn w:val="DefaultParagraphFont"/>
    <w:link w:val="Heading1"/>
    <w:rsid w:val="007A5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6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60B"/>
    <w:rPr>
      <w:b/>
      <w:spacing w:val="0"/>
    </w:rPr>
  </w:style>
  <w:style w:type="paragraph" w:customStyle="1" w:styleId="SuperHeading">
    <w:name w:val="SuperHeading"/>
    <w:basedOn w:val="Normal"/>
    <w:rsid w:val="007A5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5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6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60B"/>
    <w:rPr>
      <w:i/>
    </w:rPr>
  </w:style>
  <w:style w:type="paragraph" w:styleId="Caption">
    <w:name w:val="caption"/>
    <w:basedOn w:val="BodyText"/>
    <w:next w:val="Normal"/>
    <w:qFormat/>
    <w:rsid w:val="007A5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60B"/>
  </w:style>
  <w:style w:type="paragraph" w:styleId="TableofFigures">
    <w:name w:val="table of figures"/>
    <w:basedOn w:val="Normal"/>
    <w:next w:val="Normal"/>
    <w:semiHidden/>
    <w:rsid w:val="007A5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6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60B"/>
    <w:rPr>
      <w:rFonts w:ascii="Wingdings" w:hAnsi="Wingdings"/>
    </w:rPr>
  </w:style>
  <w:style w:type="paragraph" w:customStyle="1" w:styleId="TableHeading">
    <w:name w:val="Table Heading"/>
    <w:basedOn w:val="HeadingBase"/>
    <w:rsid w:val="007A5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60B"/>
    <w:rPr>
      <w:color w:val="0033CC"/>
      <w:u w:val="none"/>
    </w:rPr>
  </w:style>
  <w:style w:type="paragraph" w:customStyle="1" w:styleId="BodyTextRight">
    <w:name w:val="Body Text Right"/>
    <w:basedOn w:val="BodyText"/>
    <w:rsid w:val="007A5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6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60B"/>
    <w:rPr>
      <w:sz w:val="32"/>
    </w:rPr>
  </w:style>
  <w:style w:type="paragraph" w:customStyle="1" w:styleId="HeadingProcedure">
    <w:name w:val="Heading Procedure"/>
    <w:basedOn w:val="HeadingBase"/>
    <w:next w:val="Normal"/>
    <w:rsid w:val="007A5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60B"/>
    <w:pPr>
      <w:spacing w:before="60" w:after="60"/>
    </w:pPr>
  </w:style>
  <w:style w:type="paragraph" w:styleId="ListContinue">
    <w:name w:val="List Continue"/>
    <w:basedOn w:val="List"/>
    <w:rsid w:val="007A560B"/>
    <w:pPr>
      <w:ind w:firstLine="0"/>
    </w:pPr>
  </w:style>
  <w:style w:type="paragraph" w:customStyle="1" w:styleId="ListNote">
    <w:name w:val="List Note"/>
    <w:basedOn w:val="List"/>
    <w:rsid w:val="007A5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60B"/>
    <w:rPr>
      <w:rFonts w:ascii="Courier New" w:hAnsi="Courier New"/>
    </w:rPr>
  </w:style>
  <w:style w:type="paragraph" w:customStyle="1" w:styleId="NoteBullet">
    <w:name w:val="Note Bullet"/>
    <w:basedOn w:val="Note"/>
    <w:rsid w:val="007A5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6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60B"/>
    <w:rPr>
      <w:b/>
      <w:smallCaps/>
    </w:rPr>
  </w:style>
  <w:style w:type="paragraph" w:customStyle="1" w:styleId="TableListNumber">
    <w:name w:val="Table List Number"/>
    <w:basedOn w:val="ListNumber"/>
    <w:rsid w:val="007A5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60B"/>
    <w:pPr>
      <w:numPr>
        <w:numId w:val="8"/>
      </w:numPr>
    </w:pPr>
  </w:style>
  <w:style w:type="paragraph" w:customStyle="1" w:styleId="ListAlpha2">
    <w:name w:val="List Alpha 2"/>
    <w:basedOn w:val="List2"/>
    <w:rsid w:val="007A560B"/>
    <w:pPr>
      <w:numPr>
        <w:numId w:val="7"/>
      </w:numPr>
    </w:pPr>
  </w:style>
  <w:style w:type="paragraph" w:styleId="List2">
    <w:name w:val="List 2"/>
    <w:basedOn w:val="BodyText"/>
    <w:rsid w:val="007A5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6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6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60B"/>
    <w:pPr>
      <w:numPr>
        <w:numId w:val="3"/>
      </w:numPr>
    </w:pPr>
  </w:style>
  <w:style w:type="paragraph" w:styleId="ListContinue2">
    <w:name w:val="List Continue 2"/>
    <w:basedOn w:val="List2"/>
    <w:rsid w:val="007A560B"/>
    <w:pPr>
      <w:ind w:firstLine="0"/>
    </w:pPr>
  </w:style>
  <w:style w:type="paragraph" w:styleId="ListContinue3">
    <w:name w:val="List Continue 3"/>
    <w:basedOn w:val="List3"/>
    <w:rsid w:val="007A560B"/>
    <w:pPr>
      <w:ind w:left="1021" w:firstLine="0"/>
    </w:pPr>
  </w:style>
  <w:style w:type="paragraph" w:styleId="ListContinue4">
    <w:name w:val="List Continue 4"/>
    <w:basedOn w:val="List4"/>
    <w:rsid w:val="007A560B"/>
    <w:pPr>
      <w:ind w:firstLine="0"/>
    </w:pPr>
  </w:style>
  <w:style w:type="paragraph" w:styleId="ListContinue5">
    <w:name w:val="List Continue 5"/>
    <w:basedOn w:val="List5"/>
    <w:rsid w:val="007A560B"/>
    <w:pPr>
      <w:ind w:firstLine="0"/>
    </w:pPr>
  </w:style>
  <w:style w:type="paragraph" w:styleId="ListNumber3">
    <w:name w:val="List Number 3"/>
    <w:basedOn w:val="List3"/>
    <w:rsid w:val="007A560B"/>
    <w:pPr>
      <w:numPr>
        <w:numId w:val="4"/>
      </w:numPr>
    </w:pPr>
  </w:style>
  <w:style w:type="paragraph" w:styleId="ListNumber4">
    <w:name w:val="List Number 4"/>
    <w:basedOn w:val="List4"/>
    <w:rsid w:val="007A560B"/>
    <w:pPr>
      <w:numPr>
        <w:numId w:val="5"/>
      </w:numPr>
    </w:pPr>
  </w:style>
  <w:style w:type="paragraph" w:styleId="ListNumber5">
    <w:name w:val="List Number 5"/>
    <w:basedOn w:val="List5"/>
    <w:rsid w:val="007A560B"/>
    <w:pPr>
      <w:numPr>
        <w:numId w:val="6"/>
      </w:numPr>
    </w:pPr>
  </w:style>
  <w:style w:type="paragraph" w:styleId="BlockText">
    <w:name w:val="Block Text"/>
    <w:basedOn w:val="Normal"/>
    <w:rsid w:val="007A5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60B"/>
    <w:rPr>
      <w:sz w:val="16"/>
      <w:vertAlign w:val="superscript"/>
    </w:rPr>
  </w:style>
  <w:style w:type="character" w:customStyle="1" w:styleId="Symbols">
    <w:name w:val="Symbols"/>
    <w:basedOn w:val="DefaultParagraphFont"/>
    <w:rsid w:val="007A560B"/>
    <w:rPr>
      <w:rFonts w:ascii="Symbol" w:hAnsi="Symbol"/>
    </w:rPr>
  </w:style>
  <w:style w:type="character" w:customStyle="1" w:styleId="MenuOptions">
    <w:name w:val="Menu Options"/>
    <w:basedOn w:val="DefaultParagraphFont"/>
    <w:rsid w:val="007A5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60B"/>
    <w:rPr>
      <w:b/>
    </w:rPr>
  </w:style>
  <w:style w:type="character" w:customStyle="1" w:styleId="Underlined">
    <w:name w:val="Underlined"/>
    <w:basedOn w:val="DefaultParagraphFont"/>
    <w:rsid w:val="007A560B"/>
    <w:rPr>
      <w:u w:val="single"/>
    </w:rPr>
  </w:style>
  <w:style w:type="paragraph" w:customStyle="1" w:styleId="TableBodyTextRight">
    <w:name w:val="Table Body Text Right"/>
    <w:basedOn w:val="TableBodyText"/>
    <w:rsid w:val="007A5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60B"/>
    <w:rPr>
      <w:sz w:val="18"/>
    </w:rPr>
  </w:style>
  <w:style w:type="paragraph" w:customStyle="1" w:styleId="BodySmallRight">
    <w:name w:val="Body Small Right"/>
    <w:basedOn w:val="BodyTextRight"/>
    <w:rsid w:val="007A560B"/>
    <w:rPr>
      <w:sz w:val="18"/>
      <w:szCs w:val="18"/>
    </w:rPr>
  </w:style>
  <w:style w:type="paragraph" w:customStyle="1" w:styleId="MarginEdition">
    <w:name w:val="Margin Edition"/>
    <w:basedOn w:val="MarginNote"/>
    <w:rsid w:val="007A5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60B"/>
    <w:rPr>
      <w:sz w:val="2"/>
      <w:szCs w:val="2"/>
    </w:rPr>
  </w:style>
  <w:style w:type="character" w:customStyle="1" w:styleId="Small">
    <w:name w:val="Small"/>
    <w:basedOn w:val="DefaultParagraphFont"/>
    <w:rsid w:val="007A560B"/>
    <w:rPr>
      <w:sz w:val="16"/>
    </w:rPr>
  </w:style>
  <w:style w:type="paragraph" w:customStyle="1" w:styleId="WideTable">
    <w:name w:val="Wide Table"/>
    <w:basedOn w:val="Normal"/>
    <w:rsid w:val="007A5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60B"/>
  </w:style>
  <w:style w:type="paragraph" w:styleId="Quote">
    <w:name w:val="Quote"/>
    <w:basedOn w:val="Heading1"/>
    <w:link w:val="QuoteChar"/>
    <w:qFormat/>
    <w:rsid w:val="007A5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60B"/>
    <w:pPr>
      <w:pageBreakBefore/>
    </w:pPr>
  </w:style>
  <w:style w:type="paragraph" w:customStyle="1" w:styleId="Border">
    <w:name w:val="Border"/>
    <w:basedOn w:val="Normal"/>
    <w:qFormat/>
    <w:rsid w:val="007A5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60B"/>
    <w:rPr>
      <w:u w:val="single"/>
    </w:rPr>
  </w:style>
  <w:style w:type="character" w:customStyle="1" w:styleId="BoldandItalics">
    <w:name w:val="Bold and Italics"/>
    <w:qFormat/>
    <w:rsid w:val="007A560B"/>
    <w:rPr>
      <w:b/>
      <w:i/>
      <w:u w:val="none"/>
    </w:rPr>
  </w:style>
  <w:style w:type="paragraph" w:styleId="BalloonText">
    <w:name w:val="Balloon Text"/>
    <w:basedOn w:val="Normal"/>
    <w:link w:val="BalloonTextChar"/>
    <w:rsid w:val="007A5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60B"/>
    <w:pPr>
      <w:spacing w:before="0" w:after="0"/>
    </w:pPr>
  </w:style>
  <w:style w:type="paragraph" w:customStyle="1" w:styleId="BodyTextBold">
    <w:name w:val="Body Text Bold"/>
    <w:basedOn w:val="BodyText"/>
    <w:qFormat/>
    <w:rsid w:val="007A560B"/>
    <w:rPr>
      <w:b/>
    </w:rPr>
  </w:style>
  <w:style w:type="character" w:styleId="Hyperlink">
    <w:name w:val="Hyperlink"/>
    <w:basedOn w:val="DefaultParagraphFont"/>
    <w:uiPriority w:val="99"/>
    <w:unhideWhenUsed/>
    <w:rsid w:val="00671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3555</Characters>
  <Application>Microsoft Office Word</Application>
  <DocSecurity>0</DocSecurity>
  <Lines>154</Lines>
  <Paragraphs>86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DEFEXO151 Acquire data related to pressure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