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32E" w:rsidP="00137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DEFEXO149 Prepare explosives for metal hardening</w:t>
      </w:r>
      <w:r>
        <w:fldChar w:fldCharType="end"/>
      </w:r>
    </w:p>
    <w:p w:rsidR="0013732E" w:rsidP="0013732E">
      <w:pPr>
        <w:pStyle w:val="Version"/>
        <w:sectPr w:rsidSect="009C3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3F3E" w:rsidP="009C3F3E">
      <w:pPr>
        <w:pStyle w:val="SuperHeading"/>
      </w:pPr>
      <w:r w:rsidRPr="009C3F3E">
        <w:t>DEFEXO149 Prepare explosives for metal hardening</w:t>
      </w:r>
    </w:p>
    <w:p w:rsidR="00000000" w:rsidRPr="009C3F3E" w:rsidP="009C3F3E">
      <w:pPr>
        <w:pStyle w:val="Heading1"/>
      </w:pPr>
      <w:bookmarkStart w:id="1" w:name="O_1098510"/>
      <w:bookmarkEnd w:id="1"/>
      <w:r w:rsidRPr="009C3F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Release 2. Modifications made to Foundation Skills and Assessment Conditions.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t>Release 1. This unit was released in DEF Defence Training Package release 1.0 and meets the Standards for Training Packages.</w:t>
            </w:r>
          </w:p>
          <w:p w:rsidR="00000000" w:rsidRPr="009C3F3E" w:rsidP="009C3F3E">
            <w:pPr>
              <w:pStyle w:val="BodyText"/>
            </w:pPr>
            <w:r w:rsidRPr="009C3F3E">
              <w:t>This unit supersedes a</w:t>
            </w:r>
            <w:r w:rsidRPr="009C3F3E">
              <w:t>nd is equivalent to DEFEO808B Prepare explosives for metal hardening.</w:t>
            </w:r>
          </w:p>
          <w:p w:rsidR="00000000" w:rsidRPr="009C3F3E" w:rsidP="009C3F3E">
            <w:pPr>
              <w:pStyle w:val="ListBullet"/>
            </w:pPr>
            <w:r w:rsidRPr="009C3F3E">
              <w:t>Unit code updated</w:t>
            </w:r>
          </w:p>
          <w:p w:rsidR="00000000" w:rsidRPr="009C3F3E" w:rsidP="009C3F3E">
            <w:pPr>
              <w:pStyle w:val="ListBullet"/>
            </w:pPr>
            <w:r w:rsidRPr="009C3F3E">
              <w:t>Content and formatting updated to comply with the new standards</w:t>
            </w:r>
          </w:p>
          <w:p w:rsidR="00000000" w:rsidRPr="009C3F3E" w:rsidP="009C3F3E">
            <w:pPr>
              <w:pStyle w:val="ListBullet"/>
            </w:pPr>
            <w:r w:rsidRPr="009C3F3E">
              <w:t>All PC transitioned from passive to active voice</w:t>
            </w:r>
          </w:p>
          <w:p w:rsidR="00000000" w:rsidRPr="009C3F3E" w:rsidP="009C3F3E">
            <w:pPr>
              <w:pStyle w:val="ListBullet"/>
            </w:pPr>
            <w:r w:rsidRPr="009C3F3E">
              <w:t>PC 1.1 and 4.1 removed</w:t>
            </w:r>
          </w:p>
          <w:p w:rsidR="00000000" w:rsidRPr="009C3F3E" w:rsidP="009C3F3E">
            <w:pPr>
              <w:pStyle w:val="ListBullet"/>
            </w:pPr>
            <w:r w:rsidRPr="009C3F3E">
              <w:t>Element 1 one new PC</w:t>
            </w:r>
          </w:p>
          <w:p w:rsidR="00000000" w:rsidRPr="009C3F3E" w:rsidP="009C3F3E">
            <w:pPr>
              <w:pStyle w:val="ListBullet"/>
            </w:pPr>
            <w:r w:rsidRPr="009C3F3E">
              <w:t xml:space="preserve">Element 4 </w:t>
            </w:r>
            <w:r w:rsidRPr="009C3F3E">
              <w:t>two new PC</w:t>
            </w:r>
          </w:p>
          <w:p w:rsidR="00000000" w:rsidRPr="009C3F3E" w:rsidP="009C3F3E">
            <w:pPr>
              <w:pStyle w:val="ListBullet"/>
            </w:pPr>
            <w:r w:rsidRPr="009C3F3E">
              <w:t>Element 2 three new PC</w:t>
            </w:r>
          </w:p>
          <w:p w:rsidR="00000000" w:rsidRPr="009C3F3E" w:rsidP="009C3F3E">
            <w:pPr>
              <w:pStyle w:val="ListBullet"/>
            </w:pPr>
            <w:r w:rsidRPr="009C3F3E">
              <w:t>All PC reordered</w:t>
            </w:r>
          </w:p>
        </w:tc>
      </w:tr>
    </w:tbl>
    <w:p w:rsidR="0013732E" w:rsidP="009C3F3E">
      <w:pPr>
        <w:pStyle w:val="NoPaddingFontSize1"/>
      </w:pPr>
    </w:p>
    <w:p w:rsidR="0013732E" w:rsidP="009C3F3E">
      <w:pPr>
        <w:pStyle w:val="NoPaddingFontSize1"/>
      </w:pPr>
    </w:p>
    <w:p w:rsidR="00000000" w:rsidRPr="009C3F3E" w:rsidP="009C3F3E">
      <w:pPr>
        <w:pStyle w:val="Heading1"/>
      </w:pPr>
      <w:bookmarkStart w:id="2" w:name="O_1098509"/>
      <w:bookmarkEnd w:id="2"/>
      <w:r w:rsidRPr="009C3F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t xml:space="preserve">This unit describes the skills required to prepare explosives for metal hardening. Metal hardening using sheet explosives is a specialised application </w:t>
            </w:r>
            <w:r w:rsidRPr="009C3F3E">
              <w:t>of explosives and is used to harden metals such as rail points.</w:t>
            </w:r>
          </w:p>
          <w:p w:rsidR="00000000" w:rsidRPr="009C3F3E" w:rsidP="009C3F3E">
            <w:pPr>
              <w:pStyle w:val="BodyText"/>
            </w:pPr>
            <w:r w:rsidRPr="009C3F3E">
              <w:t>This unit was developed for personnel who are specialists working within proof and trials organisations, but may be applicable to any individual in this field of work.</w:t>
            </w:r>
          </w:p>
          <w:p w:rsidR="00000000" w:rsidRPr="009C3F3E" w:rsidP="009C3F3E">
            <w:pPr>
              <w:pStyle w:val="BodyText"/>
            </w:pPr>
            <w:r w:rsidRPr="009C3F3E">
              <w:t>The skills and knowledge</w:t>
            </w:r>
            <w:r w:rsidRPr="009C3F3E">
              <w:t xml:space="preserve"> described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9C3F3E" w:rsidP="009C3F3E">
            <w:pPr>
              <w:pStyle w:val="BodyText"/>
            </w:pPr>
            <w:r w:rsidRPr="009C3F3E">
              <w:t>Those undertaking this unit would work independently o</w:t>
            </w:r>
            <w:r w:rsidRPr="009C3F3E">
              <w:t>r as part of a team under indirect supervision. They would use discretion and judgement, and take responsibility for the quality of their output. They would conduct routine tasks in known contexts.</w:t>
            </w:r>
          </w:p>
          <w:p w:rsidR="00000000" w:rsidRPr="009C3F3E" w:rsidP="009C3F3E">
            <w:pPr>
              <w:pStyle w:val="BodyText"/>
            </w:pPr>
            <w:r w:rsidRPr="009C3F3E">
              <w:t>No licensing, legislative or certification requirements ap</w:t>
            </w:r>
            <w:r w:rsidRPr="009C3F3E">
              <w:t>ply to unit at the time of publication.</w:t>
            </w:r>
          </w:p>
        </w:tc>
      </w:tr>
    </w:tbl>
    <w:p w:rsidR="0013732E" w:rsidP="009C3F3E">
      <w:pPr>
        <w:pStyle w:val="NoPaddingFontSize1"/>
      </w:pPr>
    </w:p>
    <w:p w:rsidR="0013732E" w:rsidP="009C3F3E">
      <w:pPr>
        <w:pStyle w:val="NoPaddingFontSize1"/>
      </w:pPr>
    </w:p>
    <w:p w:rsidR="00000000" w:rsidRPr="009C3F3E" w:rsidP="009C3F3E">
      <w:pPr>
        <w:pStyle w:val="Heading1"/>
      </w:pPr>
      <w:bookmarkStart w:id="3" w:name="O_1106223"/>
      <w:bookmarkEnd w:id="3"/>
      <w:r w:rsidRPr="009C3F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t>Not applicable.</w:t>
            </w:r>
          </w:p>
        </w:tc>
      </w:tr>
    </w:tbl>
    <w:p w:rsidR="0013732E" w:rsidP="009C3F3E">
      <w:pPr>
        <w:pStyle w:val="NoPaddingFontSize1"/>
      </w:pPr>
    </w:p>
    <w:p w:rsidR="0013732E" w:rsidP="009C3F3E">
      <w:pPr>
        <w:pStyle w:val="NoPaddingFontSize1"/>
      </w:pPr>
    </w:p>
    <w:p w:rsidR="00000000" w:rsidRPr="009C3F3E" w:rsidP="009C3F3E">
      <w:pPr>
        <w:pStyle w:val="Heading1"/>
      </w:pPr>
      <w:bookmarkStart w:id="4" w:name="O_1098508"/>
      <w:bookmarkEnd w:id="4"/>
      <w:r w:rsidRPr="009C3F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t>Explosive Ordnance</w:t>
            </w:r>
          </w:p>
        </w:tc>
      </w:tr>
    </w:tbl>
    <w:p w:rsidR="0013732E" w:rsidP="009C3F3E">
      <w:pPr>
        <w:pStyle w:val="NoPaddingFontSize1"/>
      </w:pPr>
    </w:p>
    <w:p w:rsidR="0013732E" w:rsidP="009C3F3E">
      <w:pPr>
        <w:pStyle w:val="NoPaddingFontSize1"/>
      </w:pPr>
    </w:p>
    <w:p w:rsidR="00000000" w:rsidRPr="009C3F3E" w:rsidP="009C3F3E">
      <w:pPr>
        <w:pStyle w:val="Heading1"/>
      </w:pPr>
      <w:bookmarkStart w:id="5" w:name="O_1106224"/>
      <w:bookmarkEnd w:id="5"/>
      <w:r w:rsidRPr="009C3F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t>Not applicable.</w:t>
            </w:r>
          </w:p>
        </w:tc>
      </w:tr>
    </w:tbl>
    <w:p w:rsidR="0013732E" w:rsidP="009C3F3E">
      <w:pPr>
        <w:pStyle w:val="NoPaddingFontSize1"/>
      </w:pPr>
    </w:p>
    <w:p w:rsidR="0013732E" w:rsidP="009C3F3E">
      <w:pPr>
        <w:pStyle w:val="NoPaddingFontSize1"/>
      </w:pPr>
    </w:p>
    <w:p w:rsidR="00000000" w:rsidRPr="009C3F3E" w:rsidP="009C3F3E">
      <w:pPr>
        <w:pStyle w:val="Heading1"/>
      </w:pPr>
      <w:bookmarkStart w:id="6" w:name="O_1098507"/>
      <w:bookmarkEnd w:id="6"/>
      <w:r w:rsidRPr="009C3F3E">
        <w:t>Elements and Performance Crit</w:t>
      </w:r>
      <w:r w:rsidRPr="009C3F3E">
        <w:t>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PERFORMANCE CRITERIA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Performance criteria describe the performance needed to demonstrate achievement of the element.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rPr>
                <w:rStyle w:val="SpecialBold"/>
              </w:rPr>
              <w:t>Identify metal hardening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Read and clarify metal hardening instructions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Acquire required resources and check for serviceability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Identify explosives to meet measured hardening requirements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Identify and prepare templates used in association with the cutting of the sheet explosives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rPr>
                <w:rStyle w:val="SpecialBold"/>
              </w:rPr>
              <w:t>Prepare sheet explosives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Monitor and adhere to environmental requirements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Prepare explosives within proof or trial parameters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Maintain records throughout the process to ensure traceability of preparation activities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Inspect sheet explosives to ensure serviceability and safety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Cut and label sheet explosives to the required length and shape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Prepare sheet explosives for transport to the range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rPr>
                <w:rStyle w:val="SpecialBold"/>
              </w:rPr>
              <w:t>Prepare detonators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Identify detonators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Check detonators for continuity and repack for transport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rPr>
                <w:rStyle w:val="SpecialBold"/>
              </w:rPr>
              <w:t>Finalise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Return to store or dispose of excess explosives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t>Make area safe</w:t>
            </w:r>
          </w:p>
        </w:tc>
      </w:tr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3E">
            <w:pPr>
              <w:pStyle w:val="BodyText"/>
              <w:rPr>
                <w:lang w:val="en-NZ"/>
              </w:rPr>
            </w:pPr>
            <w:r w:rsidRPr="009C3F3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t>Maintain documentation appropriate to the task</w:t>
            </w:r>
          </w:p>
        </w:tc>
      </w:tr>
    </w:tbl>
    <w:p w:rsidR="0013732E" w:rsidP="009C3F3E">
      <w:pPr>
        <w:pStyle w:val="NoPaddingFontSize1"/>
      </w:pPr>
    </w:p>
    <w:p w:rsidR="0013732E" w:rsidP="009C3F3E">
      <w:pPr>
        <w:pStyle w:val="NoPaddingFontSize1"/>
      </w:pPr>
    </w:p>
    <w:p w:rsidR="00000000" w:rsidRPr="009C3F3E" w:rsidP="009C3F3E">
      <w:pPr>
        <w:pStyle w:val="Heading1"/>
      </w:pPr>
      <w:bookmarkStart w:id="7" w:name="O_1098506"/>
      <w:bookmarkEnd w:id="7"/>
      <w:r w:rsidRPr="009C3F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t>Foundation skills essential to performance are explicit in the performance criteria of this unit of competency.</w:t>
            </w:r>
          </w:p>
        </w:tc>
      </w:tr>
    </w:tbl>
    <w:p w:rsidR="0013732E" w:rsidP="009C3F3E">
      <w:pPr>
        <w:pStyle w:val="NoPaddingFontSize1"/>
      </w:pPr>
    </w:p>
    <w:p w:rsidR="0013732E" w:rsidP="009C3F3E">
      <w:pPr>
        <w:pStyle w:val="NoPaddingFontSize1"/>
      </w:pPr>
    </w:p>
    <w:p w:rsidR="00000000" w:rsidRPr="009C3F3E" w:rsidP="009C3F3E">
      <w:pPr>
        <w:pStyle w:val="Heading1"/>
      </w:pPr>
      <w:bookmarkStart w:id="8" w:name="O_1106225"/>
      <w:bookmarkEnd w:id="8"/>
      <w:r w:rsidRPr="009C3F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t>Range is restricted to essential operating conditions and any other variables essential to the work environment.</w:t>
            </w:r>
          </w:p>
          <w:p w:rsidR="00000000" w:rsidRPr="009C3F3E" w:rsidP="009C3F3E">
            <w:pPr>
              <w:pStyle w:val="BodyText"/>
            </w:pPr>
            <w:r w:rsidRPr="009C3F3E">
              <w:t>Non-essential conditions may be found in the Companion Volume Implementation Guide.</w:t>
            </w:r>
          </w:p>
        </w:tc>
      </w:tr>
    </w:tbl>
    <w:p w:rsidR="0013732E" w:rsidP="009C3F3E">
      <w:pPr>
        <w:pStyle w:val="NoPaddingFontSize1"/>
      </w:pPr>
    </w:p>
    <w:p w:rsidR="0013732E" w:rsidP="009C3F3E">
      <w:pPr>
        <w:pStyle w:val="NoPaddingFontSize1"/>
      </w:pPr>
    </w:p>
    <w:p w:rsidR="00000000" w:rsidRPr="009C3F3E" w:rsidP="009C3F3E">
      <w:pPr>
        <w:pStyle w:val="Heading1"/>
      </w:pPr>
      <w:bookmarkStart w:id="9" w:name="O_1098505"/>
      <w:bookmarkEnd w:id="9"/>
      <w:r w:rsidRPr="009C3F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3E" w:rsidP="009C3F3E">
            <w:pPr>
              <w:pStyle w:val="BodyText"/>
            </w:pPr>
            <w:r w:rsidRPr="009C3F3E">
              <w:t>This unit su</w:t>
            </w:r>
            <w:r w:rsidRPr="009C3F3E">
              <w:t>persedes and is equivalent to DEFEO808B Prepare explosives for metal hardening.</w:t>
            </w:r>
          </w:p>
        </w:tc>
      </w:tr>
    </w:tbl>
    <w:p w:rsidR="0013732E" w:rsidP="009C3F3E">
      <w:pPr>
        <w:pStyle w:val="NoPaddingFontSize1"/>
      </w:pPr>
    </w:p>
    <w:p w:rsidR="0013732E" w:rsidP="009C3F3E">
      <w:pPr>
        <w:pStyle w:val="NoPaddingFontSize1"/>
      </w:pPr>
    </w:p>
    <w:p w:rsidR="00000000" w:rsidRPr="009C3F3E" w:rsidP="009C3F3E">
      <w:pPr>
        <w:pStyle w:val="Heading1"/>
      </w:pPr>
      <w:bookmarkStart w:id="10" w:name="O_1098511"/>
      <w:bookmarkEnd w:id="10"/>
      <w:r w:rsidRPr="009C3F3E">
        <w:t>Links</w:t>
      </w:r>
    </w:p>
    <w:p w:rsidR="00000000" w:rsidRPr="009C3F3E" w:rsidP="0013732E">
      <w:pPr>
        <w:pStyle w:val="BodyText"/>
      </w:pPr>
      <w:r w:rsidRPr="009C3F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A5C9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C3F3E" w:rsidP="009C3F3E"/>
    <w:sectPr w:rsidSect="009C3F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3E" w:rsidRPr="0013732E" w:rsidP="00137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2E" w:rsidP="009C3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732E" w:rsidP="009C3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3732E" w:rsidP="009C3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F3E" w:rsidRPr="0013732E" w:rsidP="00137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2E" w:rsidRPr="002D2AF8" w:rsidP="009C3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DEFEXO149 Prepare explosives for metal hardening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3732E" w:rsidP="009C3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381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F6C0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F3E"/>
  </w:style>
  <w:style w:type="character" w:customStyle="1" w:styleId="Heading1Char">
    <w:name w:val="Heading 1 Char"/>
    <w:basedOn w:val="DefaultParagraphFont"/>
    <w:link w:val="Heading1"/>
    <w:rsid w:val="009C3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F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F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F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3F3E"/>
    <w:rPr>
      <w:b/>
      <w:spacing w:val="0"/>
    </w:rPr>
  </w:style>
  <w:style w:type="paragraph" w:customStyle="1" w:styleId="SuperHeading">
    <w:name w:val="SuperHeading"/>
    <w:basedOn w:val="Normal"/>
    <w:rsid w:val="009C3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3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F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F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3F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3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F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F3E"/>
    <w:rPr>
      <w:i/>
    </w:rPr>
  </w:style>
  <w:style w:type="paragraph" w:styleId="Caption">
    <w:name w:val="caption"/>
    <w:basedOn w:val="BodyText"/>
    <w:next w:val="Normal"/>
    <w:qFormat/>
    <w:rsid w:val="009C3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F3E"/>
  </w:style>
  <w:style w:type="paragraph" w:styleId="TableofFigures">
    <w:name w:val="table of figures"/>
    <w:basedOn w:val="Normal"/>
    <w:next w:val="Normal"/>
    <w:semiHidden/>
    <w:rsid w:val="009C3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F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3F3E"/>
    <w:rPr>
      <w:rFonts w:ascii="Wingdings" w:hAnsi="Wingdings"/>
    </w:rPr>
  </w:style>
  <w:style w:type="paragraph" w:customStyle="1" w:styleId="TableHeading">
    <w:name w:val="Table Heading"/>
    <w:basedOn w:val="HeadingBase"/>
    <w:rsid w:val="009C3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F3E"/>
    <w:rPr>
      <w:color w:val="0033CC"/>
      <w:u w:val="none"/>
    </w:rPr>
  </w:style>
  <w:style w:type="paragraph" w:customStyle="1" w:styleId="BodyTextRight">
    <w:name w:val="Body Text Right"/>
    <w:basedOn w:val="BodyText"/>
    <w:rsid w:val="009C3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F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F3E"/>
    <w:rPr>
      <w:sz w:val="32"/>
    </w:rPr>
  </w:style>
  <w:style w:type="paragraph" w:customStyle="1" w:styleId="HeadingProcedure">
    <w:name w:val="Heading Procedure"/>
    <w:basedOn w:val="HeadingBase"/>
    <w:next w:val="Normal"/>
    <w:rsid w:val="009C3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F3E"/>
    <w:pPr>
      <w:spacing w:before="60" w:after="60"/>
    </w:pPr>
  </w:style>
  <w:style w:type="paragraph" w:styleId="ListContinue">
    <w:name w:val="List Continue"/>
    <w:basedOn w:val="List"/>
    <w:rsid w:val="009C3F3E"/>
    <w:pPr>
      <w:ind w:firstLine="0"/>
    </w:pPr>
  </w:style>
  <w:style w:type="paragraph" w:customStyle="1" w:styleId="ListNote">
    <w:name w:val="List Note"/>
    <w:basedOn w:val="List"/>
    <w:rsid w:val="009C3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F3E"/>
    <w:rPr>
      <w:rFonts w:ascii="Courier New" w:hAnsi="Courier New"/>
    </w:rPr>
  </w:style>
  <w:style w:type="paragraph" w:customStyle="1" w:styleId="NoteBullet">
    <w:name w:val="Note Bullet"/>
    <w:basedOn w:val="Note"/>
    <w:rsid w:val="009C3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F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3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F3E"/>
    <w:rPr>
      <w:b/>
      <w:smallCaps/>
    </w:rPr>
  </w:style>
  <w:style w:type="paragraph" w:customStyle="1" w:styleId="TableListNumber">
    <w:name w:val="Table List Number"/>
    <w:basedOn w:val="ListNumber"/>
    <w:rsid w:val="009C3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F3E"/>
    <w:pPr>
      <w:numPr>
        <w:numId w:val="8"/>
      </w:numPr>
    </w:pPr>
  </w:style>
  <w:style w:type="paragraph" w:customStyle="1" w:styleId="ListAlpha2">
    <w:name w:val="List Alpha 2"/>
    <w:basedOn w:val="List2"/>
    <w:rsid w:val="009C3F3E"/>
    <w:pPr>
      <w:numPr>
        <w:numId w:val="7"/>
      </w:numPr>
    </w:pPr>
  </w:style>
  <w:style w:type="paragraph" w:styleId="List2">
    <w:name w:val="List 2"/>
    <w:basedOn w:val="BodyText"/>
    <w:rsid w:val="009C3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F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F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3F3E"/>
    <w:pPr>
      <w:numPr>
        <w:numId w:val="3"/>
      </w:numPr>
    </w:pPr>
  </w:style>
  <w:style w:type="paragraph" w:styleId="ListContinue2">
    <w:name w:val="List Continue 2"/>
    <w:basedOn w:val="List2"/>
    <w:rsid w:val="009C3F3E"/>
    <w:pPr>
      <w:ind w:firstLine="0"/>
    </w:pPr>
  </w:style>
  <w:style w:type="paragraph" w:styleId="ListContinue3">
    <w:name w:val="List Continue 3"/>
    <w:basedOn w:val="List3"/>
    <w:rsid w:val="009C3F3E"/>
    <w:pPr>
      <w:ind w:left="1021" w:firstLine="0"/>
    </w:pPr>
  </w:style>
  <w:style w:type="paragraph" w:styleId="ListContinue4">
    <w:name w:val="List Continue 4"/>
    <w:basedOn w:val="List4"/>
    <w:rsid w:val="009C3F3E"/>
    <w:pPr>
      <w:ind w:firstLine="0"/>
    </w:pPr>
  </w:style>
  <w:style w:type="paragraph" w:styleId="ListContinue5">
    <w:name w:val="List Continue 5"/>
    <w:basedOn w:val="List5"/>
    <w:rsid w:val="009C3F3E"/>
    <w:pPr>
      <w:ind w:firstLine="0"/>
    </w:pPr>
  </w:style>
  <w:style w:type="paragraph" w:styleId="ListNumber3">
    <w:name w:val="List Number 3"/>
    <w:basedOn w:val="List3"/>
    <w:rsid w:val="009C3F3E"/>
    <w:pPr>
      <w:numPr>
        <w:numId w:val="4"/>
      </w:numPr>
    </w:pPr>
  </w:style>
  <w:style w:type="paragraph" w:styleId="ListNumber4">
    <w:name w:val="List Number 4"/>
    <w:basedOn w:val="List4"/>
    <w:rsid w:val="009C3F3E"/>
    <w:pPr>
      <w:numPr>
        <w:numId w:val="5"/>
      </w:numPr>
    </w:pPr>
  </w:style>
  <w:style w:type="paragraph" w:styleId="ListNumber5">
    <w:name w:val="List Number 5"/>
    <w:basedOn w:val="List5"/>
    <w:rsid w:val="009C3F3E"/>
    <w:pPr>
      <w:numPr>
        <w:numId w:val="6"/>
      </w:numPr>
    </w:pPr>
  </w:style>
  <w:style w:type="paragraph" w:styleId="BlockText">
    <w:name w:val="Block Text"/>
    <w:basedOn w:val="Normal"/>
    <w:rsid w:val="009C3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F3E"/>
    <w:rPr>
      <w:sz w:val="16"/>
      <w:vertAlign w:val="superscript"/>
    </w:rPr>
  </w:style>
  <w:style w:type="character" w:customStyle="1" w:styleId="Symbols">
    <w:name w:val="Symbols"/>
    <w:basedOn w:val="DefaultParagraphFont"/>
    <w:rsid w:val="009C3F3E"/>
    <w:rPr>
      <w:rFonts w:ascii="Symbol" w:hAnsi="Symbol"/>
    </w:rPr>
  </w:style>
  <w:style w:type="character" w:customStyle="1" w:styleId="MenuOptions">
    <w:name w:val="Menu Options"/>
    <w:basedOn w:val="DefaultParagraphFont"/>
    <w:rsid w:val="009C3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F3E"/>
    <w:rPr>
      <w:b/>
    </w:rPr>
  </w:style>
  <w:style w:type="character" w:customStyle="1" w:styleId="Underlined">
    <w:name w:val="Underlined"/>
    <w:basedOn w:val="DefaultParagraphFont"/>
    <w:rsid w:val="009C3F3E"/>
    <w:rPr>
      <w:u w:val="single"/>
    </w:rPr>
  </w:style>
  <w:style w:type="paragraph" w:customStyle="1" w:styleId="TableBodyTextRight">
    <w:name w:val="Table Body Text Right"/>
    <w:basedOn w:val="TableBodyText"/>
    <w:rsid w:val="009C3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F3E"/>
    <w:rPr>
      <w:sz w:val="18"/>
    </w:rPr>
  </w:style>
  <w:style w:type="paragraph" w:customStyle="1" w:styleId="BodySmallRight">
    <w:name w:val="Body Small Right"/>
    <w:basedOn w:val="BodyTextRight"/>
    <w:rsid w:val="009C3F3E"/>
    <w:rPr>
      <w:sz w:val="18"/>
      <w:szCs w:val="18"/>
    </w:rPr>
  </w:style>
  <w:style w:type="paragraph" w:customStyle="1" w:styleId="MarginEdition">
    <w:name w:val="Margin Edition"/>
    <w:basedOn w:val="MarginNote"/>
    <w:rsid w:val="009C3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F3E"/>
    <w:rPr>
      <w:sz w:val="2"/>
      <w:szCs w:val="2"/>
    </w:rPr>
  </w:style>
  <w:style w:type="character" w:customStyle="1" w:styleId="Small">
    <w:name w:val="Small"/>
    <w:basedOn w:val="DefaultParagraphFont"/>
    <w:rsid w:val="009C3F3E"/>
    <w:rPr>
      <w:sz w:val="16"/>
    </w:rPr>
  </w:style>
  <w:style w:type="paragraph" w:customStyle="1" w:styleId="WideTable">
    <w:name w:val="Wide Table"/>
    <w:basedOn w:val="Normal"/>
    <w:rsid w:val="009C3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F3E"/>
  </w:style>
  <w:style w:type="paragraph" w:styleId="Quote">
    <w:name w:val="Quote"/>
    <w:basedOn w:val="Heading1"/>
    <w:link w:val="QuoteChar"/>
    <w:qFormat/>
    <w:rsid w:val="009C3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F3E"/>
    <w:pPr>
      <w:pageBreakBefore/>
    </w:pPr>
  </w:style>
  <w:style w:type="paragraph" w:customStyle="1" w:styleId="Border">
    <w:name w:val="Border"/>
    <w:basedOn w:val="Normal"/>
    <w:qFormat/>
    <w:rsid w:val="009C3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F3E"/>
    <w:rPr>
      <w:u w:val="single"/>
    </w:rPr>
  </w:style>
  <w:style w:type="character" w:customStyle="1" w:styleId="BoldandItalics">
    <w:name w:val="Bold and Italics"/>
    <w:qFormat/>
    <w:rsid w:val="009C3F3E"/>
    <w:rPr>
      <w:b/>
      <w:i/>
      <w:u w:val="none"/>
    </w:rPr>
  </w:style>
  <w:style w:type="paragraph" w:styleId="BalloonText">
    <w:name w:val="Balloon Text"/>
    <w:basedOn w:val="Normal"/>
    <w:link w:val="BalloonTextChar"/>
    <w:rsid w:val="009C3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F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F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F3E"/>
    <w:pPr>
      <w:spacing w:before="0" w:after="0"/>
    </w:pPr>
  </w:style>
  <w:style w:type="paragraph" w:customStyle="1" w:styleId="BodyTextBold">
    <w:name w:val="Body Text Bold"/>
    <w:basedOn w:val="BodyText"/>
    <w:qFormat/>
    <w:rsid w:val="009C3F3E"/>
    <w:rPr>
      <w:b/>
    </w:rPr>
  </w:style>
  <w:style w:type="character" w:styleId="Hyperlink">
    <w:name w:val="Hyperlink"/>
    <w:basedOn w:val="DefaultParagraphFont"/>
    <w:uiPriority w:val="99"/>
    <w:unhideWhenUsed/>
    <w:rsid w:val="00137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3226</Characters>
  <Application>Microsoft Office Word</Application>
  <DocSecurity>0</DocSecurity>
  <Lines>153</Lines>
  <Paragraphs>96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DEFEXO149 Prepare explosives for metal hardening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2024-11-07T11:31:00Z</dcterms:created>
  <dcterms:modified xsi:type="dcterms:W3CDTF">2024-11-07T11:31:00Z</dcterms:modified>
</cp:coreProperties>
</file>