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0397" w:rsidP="003B03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DEFEXO148 Prepare explosives for proof tests</w:t>
      </w:r>
      <w:r>
        <w:fldChar w:fldCharType="end"/>
      </w:r>
    </w:p>
    <w:p w:rsidR="003B0397" w:rsidP="003B0397">
      <w:pPr>
        <w:pStyle w:val="Version"/>
        <w:sectPr w:rsidSect="00B318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3189C" w:rsidP="00B3189C">
      <w:pPr>
        <w:pStyle w:val="SuperHeading"/>
      </w:pPr>
      <w:r w:rsidRPr="00B3189C">
        <w:t>DEFEXO148 Prepare explosives for proof tests</w:t>
      </w:r>
    </w:p>
    <w:p w:rsidR="00000000" w:rsidRPr="00B3189C" w:rsidP="00B3189C">
      <w:pPr>
        <w:pStyle w:val="Heading1"/>
      </w:pPr>
      <w:bookmarkStart w:id="1" w:name="O_1098495"/>
      <w:bookmarkEnd w:id="1"/>
      <w:r w:rsidRPr="00B3189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1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89C" w:rsidP="00B3189C">
            <w:pPr>
              <w:pStyle w:val="BodyText"/>
            </w:pPr>
            <w:r w:rsidRPr="00B3189C">
              <w:t>Release 2. Modifications made to Foundation Skills and Assessment Conditions.</w:t>
            </w:r>
          </w:p>
          <w:p w:rsidR="00000000" w:rsidRPr="00B3189C" w:rsidP="00B3189C">
            <w:pPr>
              <w:pStyle w:val="BodyText"/>
            </w:pPr>
            <w:r w:rsidRPr="00B3189C">
              <w:t>Release 1. This unit was released in DEF Defence Training Package release 1.0 and meets the Standards for Training Packages.</w:t>
            </w:r>
          </w:p>
          <w:p w:rsidR="00000000" w:rsidRPr="00B3189C" w:rsidP="00B3189C">
            <w:pPr>
              <w:pStyle w:val="BodyText"/>
            </w:pPr>
            <w:r w:rsidRPr="00B3189C">
              <w:t>This unit supersedes an</w:t>
            </w:r>
            <w:r w:rsidRPr="00B3189C">
              <w:t>d is equivalent to DEFEO807A Prepare explosive ordnance for proof tests.</w:t>
            </w:r>
          </w:p>
          <w:p w:rsidR="00000000" w:rsidRPr="00B3189C" w:rsidP="00B3189C">
            <w:pPr>
              <w:pStyle w:val="ListBullet"/>
            </w:pPr>
            <w:r w:rsidRPr="00B3189C">
              <w:t>Unit code updated</w:t>
            </w:r>
          </w:p>
          <w:p w:rsidR="00000000" w:rsidRPr="00B3189C" w:rsidP="00B3189C">
            <w:pPr>
              <w:pStyle w:val="ListBullet"/>
            </w:pPr>
            <w:r w:rsidRPr="00B3189C">
              <w:t>Content and formatting updated to comply with the new standards</w:t>
            </w:r>
          </w:p>
          <w:p w:rsidR="00000000" w:rsidRPr="00B3189C" w:rsidP="00B3189C">
            <w:pPr>
              <w:pStyle w:val="ListBullet"/>
            </w:pPr>
            <w:r w:rsidRPr="00B3189C">
              <w:t>All PC transitioned from passive to active voice</w:t>
            </w:r>
          </w:p>
          <w:p w:rsidR="00000000" w:rsidRPr="00B3189C" w:rsidP="00B3189C">
            <w:pPr>
              <w:pStyle w:val="ListBullet"/>
            </w:pPr>
            <w:r w:rsidRPr="00B3189C">
              <w:t>Unit title changed to better reflect unit outcomes</w:t>
            </w:r>
          </w:p>
          <w:p w:rsidR="00000000" w:rsidRPr="00B3189C" w:rsidP="00B3189C">
            <w:pPr>
              <w:pStyle w:val="ListBullet"/>
            </w:pPr>
            <w:r w:rsidRPr="00B3189C">
              <w:t>PC 1.2 and 1.4 removed</w:t>
            </w:r>
          </w:p>
        </w:tc>
      </w:tr>
    </w:tbl>
    <w:p w:rsidR="003B0397" w:rsidP="00B3189C">
      <w:pPr>
        <w:pStyle w:val="NoPaddingFontSize1"/>
      </w:pPr>
    </w:p>
    <w:p w:rsidR="003B0397" w:rsidP="00B3189C">
      <w:pPr>
        <w:pStyle w:val="NoPaddingFontSize1"/>
      </w:pPr>
    </w:p>
    <w:p w:rsidR="00000000" w:rsidRPr="00B3189C" w:rsidP="00B3189C">
      <w:pPr>
        <w:pStyle w:val="Heading1"/>
      </w:pPr>
      <w:bookmarkStart w:id="2" w:name="O_1098494"/>
      <w:bookmarkEnd w:id="2"/>
      <w:r w:rsidRPr="00B3189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1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89C" w:rsidP="00B3189C">
            <w:pPr>
              <w:pStyle w:val="BodyText"/>
            </w:pPr>
            <w:r w:rsidRPr="00B3189C">
              <w:t xml:space="preserve">This unit describes the skills required to prepare explosives for proof, trials and experimental tests. The preparation of explosives is a normal </w:t>
            </w:r>
            <w:r w:rsidRPr="00B3189C">
              <w:t>component of this testing. The preparation includes a range of alterations and modifications required to meet the proof testing process.</w:t>
            </w:r>
          </w:p>
          <w:p w:rsidR="00000000" w:rsidRPr="00B3189C" w:rsidP="00B3189C">
            <w:pPr>
              <w:pStyle w:val="BodyText"/>
            </w:pPr>
            <w:r w:rsidRPr="00B3189C">
              <w:t xml:space="preserve">This unit was developed for personnel who are specialists working within proof, trials and experimental organisations, </w:t>
            </w:r>
            <w:r w:rsidRPr="00B3189C">
              <w:t>but may be applicable to any individual in this field of work.</w:t>
            </w:r>
          </w:p>
          <w:p w:rsidR="00000000" w:rsidRPr="00B3189C" w:rsidP="00B3189C">
            <w:pPr>
              <w:pStyle w:val="BodyText"/>
            </w:pPr>
            <w:r w:rsidRPr="00B3189C">
              <w:t>The skills and knowledge described in this unit must be applied within the legislative, regulatory and policy environment in which they are carried out. Organisational policies and procedures m</w:t>
            </w:r>
            <w:r w:rsidRPr="00B3189C">
              <w:t>ust be consulted and adhered to.</w:t>
            </w:r>
          </w:p>
          <w:p w:rsidR="00000000" w:rsidRPr="00B3189C" w:rsidP="00B3189C">
            <w:pPr>
              <w:pStyle w:val="BodyText"/>
            </w:pPr>
            <w:r w:rsidRPr="00B3189C">
              <w:t>Those undertaking this unit would work independently or as part of a team under indirect supervision, use discretion and judgement, and take responsibility for the quality of their output. They would conduct routine tasks i</w:t>
            </w:r>
            <w:r w:rsidRPr="00B3189C">
              <w:t>n known contexts.</w:t>
            </w:r>
          </w:p>
          <w:p w:rsidR="00000000" w:rsidRPr="00B3189C" w:rsidP="00B3189C">
            <w:pPr>
              <w:pStyle w:val="BodyText"/>
            </w:pPr>
            <w:r w:rsidRPr="00B3189C">
              <w:t>No licensing, legislative or certification requirements apply to unit at the time of publication.</w:t>
            </w:r>
          </w:p>
        </w:tc>
      </w:tr>
    </w:tbl>
    <w:p w:rsidR="003B0397" w:rsidP="00B3189C">
      <w:pPr>
        <w:pStyle w:val="NoPaddingFontSize1"/>
      </w:pPr>
    </w:p>
    <w:p w:rsidR="003B0397" w:rsidP="00B3189C">
      <w:pPr>
        <w:pStyle w:val="NoPaddingFontSize1"/>
      </w:pPr>
    </w:p>
    <w:p w:rsidR="00000000" w:rsidRPr="00B3189C" w:rsidP="00B3189C">
      <w:pPr>
        <w:pStyle w:val="Heading1"/>
      </w:pPr>
      <w:bookmarkStart w:id="3" w:name="O_1106220"/>
      <w:bookmarkEnd w:id="3"/>
      <w:r w:rsidRPr="00B3189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1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89C" w:rsidP="00B3189C">
            <w:pPr>
              <w:pStyle w:val="BodyText"/>
            </w:pPr>
            <w:r w:rsidRPr="00B3189C">
              <w:t>Not applicable.</w:t>
            </w:r>
          </w:p>
        </w:tc>
      </w:tr>
    </w:tbl>
    <w:p w:rsidR="003B0397" w:rsidP="00B3189C">
      <w:pPr>
        <w:pStyle w:val="NoPaddingFontSize1"/>
      </w:pPr>
    </w:p>
    <w:p w:rsidR="003B0397" w:rsidP="00B3189C">
      <w:pPr>
        <w:pStyle w:val="NoPaddingFontSize1"/>
      </w:pPr>
    </w:p>
    <w:p w:rsidR="00000000" w:rsidRPr="00B3189C" w:rsidP="00B3189C">
      <w:pPr>
        <w:pStyle w:val="Heading1"/>
      </w:pPr>
      <w:bookmarkStart w:id="4" w:name="O_1098493"/>
      <w:bookmarkEnd w:id="4"/>
      <w:r w:rsidRPr="00B3189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1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89C" w:rsidP="00B3189C">
            <w:pPr>
              <w:pStyle w:val="BodyText"/>
            </w:pPr>
            <w:r w:rsidRPr="00B3189C">
              <w:t>Explosive Ordnance</w:t>
            </w:r>
          </w:p>
        </w:tc>
      </w:tr>
    </w:tbl>
    <w:p w:rsidR="003B0397" w:rsidP="00B3189C">
      <w:pPr>
        <w:pStyle w:val="NoPaddingFontSize1"/>
      </w:pPr>
    </w:p>
    <w:p w:rsidR="003B0397" w:rsidP="00B3189C">
      <w:pPr>
        <w:pStyle w:val="NoPaddingFontSize1"/>
      </w:pPr>
    </w:p>
    <w:p w:rsidR="00000000" w:rsidRPr="00B3189C" w:rsidP="00B3189C">
      <w:pPr>
        <w:pStyle w:val="Heading1"/>
      </w:pPr>
      <w:bookmarkStart w:id="5" w:name="O_1106221"/>
      <w:bookmarkEnd w:id="5"/>
      <w:r w:rsidRPr="00B3189C">
        <w:t>Uni</w:t>
      </w:r>
      <w:r w:rsidRPr="00B3189C">
        <w:t>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1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89C" w:rsidP="00B3189C">
            <w:pPr>
              <w:pStyle w:val="BodyText"/>
            </w:pPr>
            <w:r w:rsidRPr="00B3189C">
              <w:t>Not applicable.</w:t>
            </w:r>
          </w:p>
        </w:tc>
      </w:tr>
    </w:tbl>
    <w:p w:rsidR="003B0397" w:rsidP="00B3189C">
      <w:pPr>
        <w:pStyle w:val="NoPaddingFontSize1"/>
      </w:pPr>
    </w:p>
    <w:p w:rsidR="003B0397" w:rsidP="00B3189C">
      <w:pPr>
        <w:pStyle w:val="NoPaddingFontSize1"/>
      </w:pPr>
    </w:p>
    <w:p w:rsidR="00000000" w:rsidRPr="00B3189C" w:rsidP="00B3189C">
      <w:pPr>
        <w:pStyle w:val="Heading1"/>
      </w:pPr>
      <w:bookmarkStart w:id="6" w:name="O_1098492"/>
      <w:bookmarkEnd w:id="6"/>
      <w:r w:rsidRPr="00B3189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31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89C" w:rsidP="00B3189C">
            <w:pPr>
              <w:pStyle w:val="BodyText"/>
            </w:pPr>
            <w:r w:rsidRPr="00B3189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9C">
            <w:pPr>
              <w:pStyle w:val="BodyText"/>
              <w:rPr>
                <w:lang w:val="en-NZ"/>
              </w:rPr>
            </w:pPr>
            <w:r w:rsidRPr="00B3189C">
              <w:rPr>
                <w:rStyle w:val="SpecialBold"/>
              </w:rPr>
              <w:t>PERFORMANCE CRITERIA</w:t>
            </w:r>
          </w:p>
        </w:tc>
      </w:tr>
      <w:tr w:rsidTr="00B31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9C">
            <w:pPr>
              <w:pStyle w:val="BodyText"/>
              <w:rPr>
                <w:lang w:val="en-NZ"/>
              </w:rPr>
            </w:pPr>
            <w:r w:rsidRPr="00B3189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9C">
            <w:pPr>
              <w:pStyle w:val="BodyText"/>
              <w:rPr>
                <w:lang w:val="en-NZ"/>
              </w:rPr>
            </w:pPr>
            <w:r w:rsidRPr="00B3189C">
              <w:t>Performance criteria describe the performance needed to demonstrate achievement of the element.</w:t>
            </w:r>
          </w:p>
        </w:tc>
      </w:tr>
      <w:tr w:rsidTr="00B31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89C" w:rsidP="00B3189C">
            <w:pPr>
              <w:pStyle w:val="BodyText"/>
            </w:pPr>
            <w:r w:rsidRPr="00B3189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89C" w:rsidP="00B3189C">
            <w:pPr>
              <w:pStyle w:val="BodyText"/>
            </w:pPr>
            <w:r w:rsidRPr="00B3189C">
              <w:rPr>
                <w:rStyle w:val="SpecialBold"/>
              </w:rPr>
              <w:t>Identify the trial and proof test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9C">
            <w:pPr>
              <w:pStyle w:val="BodyText"/>
              <w:rPr>
                <w:lang w:val="en-NZ"/>
              </w:rPr>
            </w:pPr>
            <w:r w:rsidRPr="00B3189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9C">
            <w:pPr>
              <w:pStyle w:val="BodyText"/>
              <w:rPr>
                <w:lang w:val="en-NZ"/>
              </w:rPr>
            </w:pPr>
            <w:r w:rsidRPr="00B3189C">
              <w:t>Read and clarify proof, experimental or trial instructions</w:t>
            </w:r>
          </w:p>
        </w:tc>
      </w:tr>
      <w:tr w:rsidTr="00B31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8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9C">
            <w:pPr>
              <w:pStyle w:val="BodyText"/>
              <w:rPr>
                <w:lang w:val="en-NZ"/>
              </w:rPr>
            </w:pPr>
            <w:r w:rsidRPr="00B3189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9C">
            <w:pPr>
              <w:pStyle w:val="BodyText"/>
              <w:rPr>
                <w:lang w:val="en-NZ"/>
              </w:rPr>
            </w:pPr>
            <w:r w:rsidRPr="00B3189C">
              <w:t>Acquire required resources and check for serviceability</w:t>
            </w:r>
          </w:p>
        </w:tc>
      </w:tr>
      <w:tr w:rsidTr="00B31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89C" w:rsidP="00B3189C">
            <w:pPr>
              <w:pStyle w:val="BodyText"/>
            </w:pPr>
            <w:r w:rsidRPr="00B3189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89C" w:rsidP="00B3189C">
            <w:pPr>
              <w:pStyle w:val="BodyText"/>
            </w:pPr>
            <w:r w:rsidRPr="00B3189C">
              <w:rPr>
                <w:rStyle w:val="SpecialBold"/>
              </w:rPr>
              <w:t>Conduct the preparation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9C">
            <w:pPr>
              <w:pStyle w:val="BodyText"/>
              <w:rPr>
                <w:lang w:val="en-NZ"/>
              </w:rPr>
            </w:pPr>
            <w:r w:rsidRPr="00B3189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9C">
            <w:pPr>
              <w:pStyle w:val="BodyText"/>
              <w:rPr>
                <w:lang w:val="en-NZ"/>
              </w:rPr>
            </w:pPr>
            <w:r w:rsidRPr="00B3189C">
              <w:t>Monitor and adhere to environmental re</w:t>
            </w:r>
            <w:r w:rsidRPr="00B3189C">
              <w:t>quirements</w:t>
            </w:r>
          </w:p>
        </w:tc>
      </w:tr>
      <w:tr w:rsidTr="00B31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8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9C">
            <w:pPr>
              <w:pStyle w:val="BodyText"/>
              <w:rPr>
                <w:lang w:val="en-NZ"/>
              </w:rPr>
            </w:pPr>
            <w:r w:rsidRPr="00B3189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9C">
            <w:pPr>
              <w:pStyle w:val="BodyText"/>
              <w:rPr>
                <w:lang w:val="en-NZ"/>
              </w:rPr>
            </w:pPr>
            <w:r w:rsidRPr="00B3189C">
              <w:t>Prepare explosives within proof, experimental or trial parameters</w:t>
            </w:r>
          </w:p>
        </w:tc>
      </w:tr>
      <w:tr w:rsidTr="00B31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8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9C">
            <w:pPr>
              <w:pStyle w:val="BodyText"/>
              <w:rPr>
                <w:lang w:val="en-NZ"/>
              </w:rPr>
            </w:pPr>
            <w:r w:rsidRPr="00B3189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9C">
            <w:pPr>
              <w:pStyle w:val="BodyText"/>
              <w:rPr>
                <w:lang w:val="en-NZ"/>
              </w:rPr>
            </w:pPr>
            <w:r w:rsidRPr="00B3189C">
              <w:t>Maintain records throughout the process to ensure traceability of preparation activities</w:t>
            </w:r>
          </w:p>
        </w:tc>
      </w:tr>
      <w:tr w:rsidTr="00B31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89C" w:rsidP="00B3189C">
            <w:pPr>
              <w:pStyle w:val="BodyText"/>
            </w:pPr>
            <w:r w:rsidRPr="00B3189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89C" w:rsidP="00B3189C">
            <w:pPr>
              <w:pStyle w:val="BodyText"/>
            </w:pPr>
            <w:r w:rsidRPr="00B3189C">
              <w:rPr>
                <w:rStyle w:val="SpecialBold"/>
              </w:rPr>
              <w:t>Finalise preparation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9C">
            <w:pPr>
              <w:pStyle w:val="BodyText"/>
              <w:rPr>
                <w:lang w:val="en-NZ"/>
              </w:rPr>
            </w:pPr>
            <w:r w:rsidRPr="00B3189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9C">
            <w:pPr>
              <w:pStyle w:val="BodyText"/>
              <w:rPr>
                <w:lang w:val="en-NZ"/>
              </w:rPr>
            </w:pPr>
            <w:r w:rsidRPr="00B3189C">
              <w:t>Return to store or dispose of excess explosives</w:t>
            </w:r>
          </w:p>
        </w:tc>
      </w:tr>
      <w:tr w:rsidTr="00B31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8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9C">
            <w:pPr>
              <w:pStyle w:val="BodyText"/>
              <w:rPr>
                <w:lang w:val="en-NZ"/>
              </w:rPr>
            </w:pPr>
            <w:r w:rsidRPr="00B3189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9C">
            <w:pPr>
              <w:pStyle w:val="BodyText"/>
              <w:rPr>
                <w:lang w:val="en-NZ"/>
              </w:rPr>
            </w:pPr>
            <w:r w:rsidRPr="00B3189C">
              <w:t>Make area safe</w:t>
            </w:r>
          </w:p>
        </w:tc>
      </w:tr>
      <w:tr w:rsidTr="00B31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8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9C">
            <w:pPr>
              <w:pStyle w:val="BodyText"/>
              <w:rPr>
                <w:lang w:val="en-NZ"/>
              </w:rPr>
            </w:pPr>
            <w:r w:rsidRPr="00B3189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89C" w:rsidP="00B3189C">
            <w:pPr>
              <w:pStyle w:val="BodyText"/>
            </w:pPr>
            <w:r w:rsidRPr="00B3189C">
              <w:t>Maintain documentation appropriate to the task</w:t>
            </w:r>
          </w:p>
        </w:tc>
      </w:tr>
    </w:tbl>
    <w:p w:rsidR="003B0397" w:rsidP="00B3189C">
      <w:pPr>
        <w:pStyle w:val="NoPaddingFontSize1"/>
      </w:pPr>
    </w:p>
    <w:p w:rsidR="003B0397" w:rsidP="00B3189C">
      <w:pPr>
        <w:pStyle w:val="NoPaddingFontSize1"/>
      </w:pPr>
    </w:p>
    <w:p w:rsidR="00000000" w:rsidRPr="00B3189C" w:rsidP="00B3189C">
      <w:pPr>
        <w:pStyle w:val="Heading1"/>
      </w:pPr>
      <w:bookmarkStart w:id="7" w:name="O_1098491"/>
      <w:bookmarkEnd w:id="7"/>
      <w:r w:rsidRPr="00B3189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1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89C" w:rsidP="00B3189C">
            <w:pPr>
              <w:pStyle w:val="BodyText"/>
            </w:pPr>
            <w:r w:rsidRPr="00B3189C">
              <w:t>Foundation skills essential to performance are explicit in the performance criteria of this unit of competency.</w:t>
            </w:r>
          </w:p>
        </w:tc>
      </w:tr>
    </w:tbl>
    <w:p w:rsidR="003B0397" w:rsidP="00B3189C">
      <w:pPr>
        <w:pStyle w:val="NoPaddingFontSize1"/>
      </w:pPr>
    </w:p>
    <w:p w:rsidR="003B0397" w:rsidP="00B3189C">
      <w:pPr>
        <w:pStyle w:val="NoPaddingFontSize1"/>
      </w:pPr>
    </w:p>
    <w:p w:rsidR="00000000" w:rsidRPr="00B3189C" w:rsidP="00B3189C">
      <w:pPr>
        <w:pStyle w:val="Heading1"/>
      </w:pPr>
      <w:bookmarkStart w:id="8" w:name="O_1106222"/>
      <w:bookmarkEnd w:id="8"/>
      <w:r w:rsidRPr="00B3189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1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89C" w:rsidP="00B3189C">
            <w:pPr>
              <w:pStyle w:val="BodyText"/>
            </w:pPr>
            <w:r w:rsidRPr="00B3189C">
              <w:t>Range is restricted to essential operating conditions and any other variables essential to the work environment.</w:t>
            </w:r>
          </w:p>
          <w:p w:rsidR="00000000" w:rsidRPr="00B3189C" w:rsidP="00B3189C">
            <w:pPr>
              <w:pStyle w:val="BodyText"/>
            </w:pPr>
            <w:r w:rsidRPr="00B3189C">
              <w:t>Non-essential conditions may be found in the Companion Volume Implementation Guide.</w:t>
            </w:r>
          </w:p>
        </w:tc>
      </w:tr>
    </w:tbl>
    <w:p w:rsidR="003B0397" w:rsidP="00B3189C">
      <w:pPr>
        <w:pStyle w:val="NoPaddingFontSize1"/>
      </w:pPr>
    </w:p>
    <w:p w:rsidR="003B0397" w:rsidP="00B3189C">
      <w:pPr>
        <w:pStyle w:val="NoPaddingFontSize1"/>
      </w:pPr>
    </w:p>
    <w:p w:rsidR="00000000" w:rsidRPr="00B3189C" w:rsidP="00B3189C">
      <w:pPr>
        <w:pStyle w:val="Heading1"/>
      </w:pPr>
      <w:bookmarkStart w:id="9" w:name="O_1098490"/>
      <w:bookmarkEnd w:id="9"/>
      <w:r w:rsidRPr="00B3189C">
        <w:t>U</w:t>
      </w:r>
      <w:r w:rsidRPr="00B3189C">
        <w:t>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1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89C" w:rsidP="00B3189C">
            <w:pPr>
              <w:pStyle w:val="BodyText"/>
            </w:pPr>
            <w:r w:rsidRPr="00B3189C">
              <w:t xml:space="preserve">This unit supersedes and is equivalent to DEFEO807A Prepare explosive ordnance for proof </w:t>
            </w:r>
            <w:r w:rsidRPr="00B3189C">
              <w:t>tests.</w:t>
            </w:r>
          </w:p>
        </w:tc>
      </w:tr>
    </w:tbl>
    <w:p w:rsidR="003B0397" w:rsidP="00B3189C">
      <w:pPr>
        <w:pStyle w:val="NoPaddingFontSize1"/>
      </w:pPr>
    </w:p>
    <w:p w:rsidR="003B0397" w:rsidP="00B3189C">
      <w:pPr>
        <w:pStyle w:val="NoPaddingFontSize1"/>
      </w:pPr>
    </w:p>
    <w:p w:rsidR="00000000" w:rsidRPr="00B3189C" w:rsidP="00B3189C">
      <w:pPr>
        <w:pStyle w:val="Heading1"/>
      </w:pPr>
      <w:bookmarkStart w:id="10" w:name="O_1098496"/>
      <w:bookmarkEnd w:id="10"/>
      <w:r w:rsidRPr="00B3189C">
        <w:t>Links</w:t>
      </w:r>
    </w:p>
    <w:p w:rsidR="00000000" w:rsidRPr="00B3189C" w:rsidP="003B0397">
      <w:pPr>
        <w:pStyle w:val="BodyText"/>
      </w:pPr>
      <w:r w:rsidRPr="00B318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86C30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B3189C" w:rsidP="00B3189C"/>
    <w:sectPr w:rsidSect="00B318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8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89C" w:rsidRPr="003B0397" w:rsidP="003B03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8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397" w:rsidP="00B318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0397" w:rsidP="00B318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B0397" w:rsidP="00B318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8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3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189C" w:rsidRPr="003B0397" w:rsidP="003B03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8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397" w:rsidRPr="002D2AF8" w:rsidP="00B318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DEFEXO148 Prepare explosives for proof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3B0397" w:rsidP="00B318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7C85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162E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8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18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18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18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18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18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18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18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18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18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18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189C"/>
  </w:style>
  <w:style w:type="character" w:customStyle="1" w:styleId="Heading1Char">
    <w:name w:val="Heading 1 Char"/>
    <w:basedOn w:val="DefaultParagraphFont"/>
    <w:link w:val="Heading1"/>
    <w:rsid w:val="00B318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18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18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189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189C"/>
    <w:rPr>
      <w:b/>
      <w:spacing w:val="0"/>
    </w:rPr>
  </w:style>
  <w:style w:type="paragraph" w:customStyle="1" w:styleId="SuperHeading">
    <w:name w:val="SuperHeading"/>
    <w:basedOn w:val="Normal"/>
    <w:rsid w:val="00B318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18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318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18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18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18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18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18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18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18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18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18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18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18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18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18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18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18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18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18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18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18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18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18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18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18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18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18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18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18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18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18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18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18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18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189C"/>
    <w:rPr>
      <w:i/>
    </w:rPr>
  </w:style>
  <w:style w:type="paragraph" w:styleId="Caption">
    <w:name w:val="caption"/>
    <w:basedOn w:val="BodyText"/>
    <w:next w:val="Normal"/>
    <w:qFormat/>
    <w:rsid w:val="00B318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18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18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189C"/>
  </w:style>
  <w:style w:type="paragraph" w:styleId="TableofFigures">
    <w:name w:val="table of figures"/>
    <w:basedOn w:val="Normal"/>
    <w:next w:val="Normal"/>
    <w:semiHidden/>
    <w:rsid w:val="00B318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18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3189C"/>
    <w:rPr>
      <w:rFonts w:ascii="Wingdings" w:hAnsi="Wingdings"/>
    </w:rPr>
  </w:style>
  <w:style w:type="paragraph" w:customStyle="1" w:styleId="TableHeading">
    <w:name w:val="Table Heading"/>
    <w:basedOn w:val="HeadingBase"/>
    <w:rsid w:val="00B318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189C"/>
    <w:rPr>
      <w:color w:val="0033CC"/>
      <w:u w:val="none"/>
    </w:rPr>
  </w:style>
  <w:style w:type="paragraph" w:customStyle="1" w:styleId="BodyTextRight">
    <w:name w:val="Body Text Right"/>
    <w:basedOn w:val="BodyText"/>
    <w:rsid w:val="00B318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18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18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18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18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18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189C"/>
    <w:rPr>
      <w:sz w:val="32"/>
    </w:rPr>
  </w:style>
  <w:style w:type="paragraph" w:customStyle="1" w:styleId="HeadingProcedure">
    <w:name w:val="Heading Procedure"/>
    <w:basedOn w:val="HeadingBase"/>
    <w:next w:val="Normal"/>
    <w:rsid w:val="00B318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189C"/>
    <w:pPr>
      <w:spacing w:before="60" w:after="60"/>
    </w:pPr>
  </w:style>
  <w:style w:type="paragraph" w:styleId="ListContinue">
    <w:name w:val="List Continue"/>
    <w:basedOn w:val="List"/>
    <w:rsid w:val="00B3189C"/>
    <w:pPr>
      <w:ind w:firstLine="0"/>
    </w:pPr>
  </w:style>
  <w:style w:type="paragraph" w:customStyle="1" w:styleId="ListNote">
    <w:name w:val="List Note"/>
    <w:basedOn w:val="List"/>
    <w:rsid w:val="00B318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18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18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189C"/>
    <w:rPr>
      <w:rFonts w:ascii="Courier New" w:hAnsi="Courier New"/>
    </w:rPr>
  </w:style>
  <w:style w:type="paragraph" w:customStyle="1" w:styleId="NoteBullet">
    <w:name w:val="Note Bullet"/>
    <w:basedOn w:val="Note"/>
    <w:rsid w:val="00B318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18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18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18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18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318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18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189C"/>
    <w:rPr>
      <w:b/>
      <w:smallCaps/>
    </w:rPr>
  </w:style>
  <w:style w:type="paragraph" w:customStyle="1" w:styleId="TableListNumber">
    <w:name w:val="Table List Number"/>
    <w:basedOn w:val="ListNumber"/>
    <w:rsid w:val="00B318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18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189C"/>
    <w:pPr>
      <w:numPr>
        <w:numId w:val="8"/>
      </w:numPr>
    </w:pPr>
  </w:style>
  <w:style w:type="paragraph" w:customStyle="1" w:styleId="ListAlpha2">
    <w:name w:val="List Alpha 2"/>
    <w:basedOn w:val="List2"/>
    <w:rsid w:val="00B3189C"/>
    <w:pPr>
      <w:numPr>
        <w:numId w:val="7"/>
      </w:numPr>
    </w:pPr>
  </w:style>
  <w:style w:type="paragraph" w:styleId="List2">
    <w:name w:val="List 2"/>
    <w:basedOn w:val="BodyText"/>
    <w:rsid w:val="00B318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18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18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18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18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18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189C"/>
    <w:pPr>
      <w:numPr>
        <w:numId w:val="3"/>
      </w:numPr>
    </w:pPr>
  </w:style>
  <w:style w:type="paragraph" w:styleId="ListContinue2">
    <w:name w:val="List Continue 2"/>
    <w:basedOn w:val="List2"/>
    <w:rsid w:val="00B3189C"/>
    <w:pPr>
      <w:ind w:firstLine="0"/>
    </w:pPr>
  </w:style>
  <w:style w:type="paragraph" w:styleId="ListContinue3">
    <w:name w:val="List Continue 3"/>
    <w:basedOn w:val="List3"/>
    <w:rsid w:val="00B3189C"/>
    <w:pPr>
      <w:ind w:left="1021" w:firstLine="0"/>
    </w:pPr>
  </w:style>
  <w:style w:type="paragraph" w:styleId="ListContinue4">
    <w:name w:val="List Continue 4"/>
    <w:basedOn w:val="List4"/>
    <w:rsid w:val="00B3189C"/>
    <w:pPr>
      <w:ind w:firstLine="0"/>
    </w:pPr>
  </w:style>
  <w:style w:type="paragraph" w:styleId="ListContinue5">
    <w:name w:val="List Continue 5"/>
    <w:basedOn w:val="List5"/>
    <w:rsid w:val="00B3189C"/>
    <w:pPr>
      <w:ind w:firstLine="0"/>
    </w:pPr>
  </w:style>
  <w:style w:type="paragraph" w:styleId="ListNumber3">
    <w:name w:val="List Number 3"/>
    <w:basedOn w:val="List3"/>
    <w:rsid w:val="00B3189C"/>
    <w:pPr>
      <w:numPr>
        <w:numId w:val="4"/>
      </w:numPr>
    </w:pPr>
  </w:style>
  <w:style w:type="paragraph" w:styleId="ListNumber4">
    <w:name w:val="List Number 4"/>
    <w:basedOn w:val="List4"/>
    <w:rsid w:val="00B3189C"/>
    <w:pPr>
      <w:numPr>
        <w:numId w:val="5"/>
      </w:numPr>
    </w:pPr>
  </w:style>
  <w:style w:type="paragraph" w:styleId="ListNumber5">
    <w:name w:val="List Number 5"/>
    <w:basedOn w:val="List5"/>
    <w:rsid w:val="00B3189C"/>
    <w:pPr>
      <w:numPr>
        <w:numId w:val="6"/>
      </w:numPr>
    </w:pPr>
  </w:style>
  <w:style w:type="paragraph" w:styleId="BlockText">
    <w:name w:val="Block Text"/>
    <w:basedOn w:val="Normal"/>
    <w:rsid w:val="00B318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18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189C"/>
    <w:rPr>
      <w:sz w:val="16"/>
      <w:vertAlign w:val="superscript"/>
    </w:rPr>
  </w:style>
  <w:style w:type="character" w:customStyle="1" w:styleId="Symbols">
    <w:name w:val="Symbols"/>
    <w:basedOn w:val="DefaultParagraphFont"/>
    <w:rsid w:val="00B3189C"/>
    <w:rPr>
      <w:rFonts w:ascii="Symbol" w:hAnsi="Symbol"/>
    </w:rPr>
  </w:style>
  <w:style w:type="character" w:customStyle="1" w:styleId="MenuOptions">
    <w:name w:val="Menu Options"/>
    <w:basedOn w:val="DefaultParagraphFont"/>
    <w:rsid w:val="00B318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189C"/>
    <w:rPr>
      <w:b/>
    </w:rPr>
  </w:style>
  <w:style w:type="character" w:customStyle="1" w:styleId="Underlined">
    <w:name w:val="Underlined"/>
    <w:basedOn w:val="DefaultParagraphFont"/>
    <w:rsid w:val="00B3189C"/>
    <w:rPr>
      <w:u w:val="single"/>
    </w:rPr>
  </w:style>
  <w:style w:type="paragraph" w:customStyle="1" w:styleId="TableBodyTextRight">
    <w:name w:val="Table Body Text Right"/>
    <w:basedOn w:val="TableBodyText"/>
    <w:rsid w:val="00B318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189C"/>
    <w:rPr>
      <w:sz w:val="18"/>
    </w:rPr>
  </w:style>
  <w:style w:type="paragraph" w:customStyle="1" w:styleId="BodySmallRight">
    <w:name w:val="Body Small Right"/>
    <w:basedOn w:val="BodyTextRight"/>
    <w:rsid w:val="00B3189C"/>
    <w:rPr>
      <w:sz w:val="18"/>
      <w:szCs w:val="18"/>
    </w:rPr>
  </w:style>
  <w:style w:type="paragraph" w:customStyle="1" w:styleId="MarginEdition">
    <w:name w:val="Margin Edition"/>
    <w:basedOn w:val="MarginNote"/>
    <w:rsid w:val="00B318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189C"/>
    <w:rPr>
      <w:sz w:val="2"/>
      <w:szCs w:val="2"/>
    </w:rPr>
  </w:style>
  <w:style w:type="character" w:customStyle="1" w:styleId="Small">
    <w:name w:val="Small"/>
    <w:basedOn w:val="DefaultParagraphFont"/>
    <w:rsid w:val="00B3189C"/>
    <w:rPr>
      <w:sz w:val="16"/>
    </w:rPr>
  </w:style>
  <w:style w:type="paragraph" w:customStyle="1" w:styleId="WideTable">
    <w:name w:val="Wide Table"/>
    <w:basedOn w:val="Normal"/>
    <w:rsid w:val="00B318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189C"/>
  </w:style>
  <w:style w:type="paragraph" w:styleId="Quote">
    <w:name w:val="Quote"/>
    <w:basedOn w:val="Heading1"/>
    <w:link w:val="QuoteChar"/>
    <w:qFormat/>
    <w:rsid w:val="00B318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18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189C"/>
    <w:pPr>
      <w:pageBreakBefore/>
    </w:pPr>
  </w:style>
  <w:style w:type="paragraph" w:customStyle="1" w:styleId="Border">
    <w:name w:val="Border"/>
    <w:basedOn w:val="Normal"/>
    <w:qFormat/>
    <w:rsid w:val="00B318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18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8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8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18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18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18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18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18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189C"/>
    <w:rPr>
      <w:u w:val="single"/>
    </w:rPr>
  </w:style>
  <w:style w:type="character" w:customStyle="1" w:styleId="BoldandItalics">
    <w:name w:val="Bold and Italics"/>
    <w:qFormat/>
    <w:rsid w:val="00B3189C"/>
    <w:rPr>
      <w:b/>
      <w:i/>
      <w:u w:val="none"/>
    </w:rPr>
  </w:style>
  <w:style w:type="paragraph" w:styleId="BalloonText">
    <w:name w:val="Balloon Text"/>
    <w:basedOn w:val="Normal"/>
    <w:link w:val="BalloonTextChar"/>
    <w:rsid w:val="00B318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18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18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18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18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18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189C"/>
    <w:pPr>
      <w:spacing w:before="0" w:after="0"/>
    </w:pPr>
  </w:style>
  <w:style w:type="paragraph" w:customStyle="1" w:styleId="BodyTextBold">
    <w:name w:val="Body Text Bold"/>
    <w:basedOn w:val="BodyText"/>
    <w:qFormat/>
    <w:rsid w:val="00B3189C"/>
    <w:rPr>
      <w:b/>
    </w:rPr>
  </w:style>
  <w:style w:type="character" w:styleId="Hyperlink">
    <w:name w:val="Hyperlink"/>
    <w:basedOn w:val="DefaultParagraphFont"/>
    <w:uiPriority w:val="99"/>
    <w:unhideWhenUsed/>
    <w:rsid w:val="003B03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472</Words>
  <Characters>2905</Characters>
  <Application>Microsoft Office Word</Application>
  <DocSecurity>0</DocSecurity>
  <Lines>121</Lines>
  <Paragraphs>73</Paragraphs>
  <ScaleCrop>false</ScaleCrop>
  <Company>Author-it Software Corporation Ltd.</Company>
  <LinksUpToDate>false</LinksUpToDate>
  <CharactersWithSpaces>3304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DEFEXO148 Prepare explosives for proof tests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2024-11-07T11:36:00Z</dcterms:created>
  <dcterms:modified xsi:type="dcterms:W3CDTF">2024-11-07T11:36:00Z</dcterms:modified>
</cp:coreProperties>
</file>