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5614" w:rsidP="000056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DEFEXO143 Undertake firings of other calibre weapons</w:t>
      </w:r>
      <w:r>
        <w:fldChar w:fldCharType="end"/>
      </w:r>
    </w:p>
    <w:p w:rsidR="00005614" w:rsidP="00005614">
      <w:pPr>
        <w:pStyle w:val="Version"/>
        <w:sectPr w:rsidSect="003D35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3D3507" w:rsidP="003D3507">
      <w:pPr>
        <w:pStyle w:val="SuperHeading"/>
      </w:pPr>
      <w:r w:rsidRPr="003D3507">
        <w:t>DEFEXO143 Undertake firings of other calibre weapons</w:t>
      </w:r>
    </w:p>
    <w:p w:rsidR="00000000" w:rsidRPr="003D3507" w:rsidP="003D3507">
      <w:pPr>
        <w:pStyle w:val="Heading1"/>
      </w:pPr>
      <w:bookmarkStart w:id="1" w:name="O_1283206"/>
      <w:bookmarkEnd w:id="1"/>
      <w:r w:rsidRPr="003D350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D35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507">
            <w:pPr>
              <w:pStyle w:val="BodyText"/>
              <w:rPr>
                <w:lang w:val="en-NZ"/>
              </w:rPr>
            </w:pPr>
            <w:r w:rsidRPr="003D3507">
              <w:t xml:space="preserve">Release 3. Assessment Conditions clarified in relation to simulation being an assessment option. </w:t>
            </w:r>
          </w:p>
        </w:tc>
      </w:tr>
      <w:tr w:rsidTr="003D35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507">
            <w:pPr>
              <w:pStyle w:val="BodyText"/>
              <w:rPr>
                <w:lang w:val="en-NZ"/>
              </w:rPr>
            </w:pPr>
            <w:r w:rsidRPr="003D3507">
              <w:t>Release 2. Modifications made to Foundation Skills and Assessment Conditions.</w:t>
            </w:r>
          </w:p>
        </w:tc>
      </w:tr>
      <w:tr w:rsidTr="003D35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507" w:rsidP="003D3507">
            <w:pPr>
              <w:pStyle w:val="BodyText"/>
            </w:pPr>
            <w:r w:rsidRPr="003D3507">
              <w:t>Release 1. This unit was released in DE</w:t>
            </w:r>
            <w:r w:rsidRPr="003D3507">
              <w:t>F Defence Training Package release 1.0 and meets the Standards for Training Packages.</w:t>
            </w:r>
          </w:p>
          <w:p w:rsidR="00000000" w:rsidRPr="003D3507" w:rsidP="003D3507">
            <w:pPr>
              <w:pStyle w:val="BodyText"/>
            </w:pPr>
            <w:r w:rsidRPr="003D3507">
              <w:t>This unit supersedes and is equivalent to DEFEO802A Undertake proof firings of other calibre weapons.</w:t>
            </w:r>
          </w:p>
          <w:p w:rsidR="00000000" w:rsidRPr="003D3507" w:rsidP="003D3507">
            <w:pPr>
              <w:pStyle w:val="ListBullet"/>
            </w:pPr>
            <w:r w:rsidRPr="003D3507">
              <w:t>Unit code updated</w:t>
            </w:r>
          </w:p>
          <w:p w:rsidR="00000000" w:rsidRPr="003D3507" w:rsidP="003D3507">
            <w:pPr>
              <w:pStyle w:val="ListBullet"/>
            </w:pPr>
            <w:r w:rsidRPr="003D3507">
              <w:t>Content and formatting updated to comply with the</w:t>
            </w:r>
            <w:r w:rsidRPr="003D3507">
              <w:t xml:space="preserve"> new standards</w:t>
            </w:r>
          </w:p>
          <w:p w:rsidR="00000000" w:rsidRPr="003D3507" w:rsidP="003D3507">
            <w:pPr>
              <w:pStyle w:val="ListBullet"/>
            </w:pPr>
            <w:r w:rsidRPr="003D3507">
              <w:t>All PC transitioned from passive to active voice</w:t>
            </w:r>
          </w:p>
          <w:p w:rsidR="00000000" w:rsidRPr="003D3507" w:rsidP="003D3507">
            <w:pPr>
              <w:pStyle w:val="ListBullet"/>
            </w:pPr>
            <w:r w:rsidRPr="003D3507">
              <w:t>PC 1.1 removed</w:t>
            </w:r>
          </w:p>
          <w:p w:rsidR="00000000" w:rsidRPr="003D3507" w:rsidP="003D3507">
            <w:pPr>
              <w:pStyle w:val="ListBullet"/>
            </w:pPr>
            <w:r w:rsidRPr="003D3507">
              <w:t>Element 1 one new PC</w:t>
            </w:r>
          </w:p>
        </w:tc>
      </w:tr>
    </w:tbl>
    <w:p w:rsidR="00005614" w:rsidP="003D3507">
      <w:pPr>
        <w:pStyle w:val="NoPaddingFontSize1"/>
      </w:pPr>
    </w:p>
    <w:p w:rsidR="00005614" w:rsidP="003D3507">
      <w:pPr>
        <w:pStyle w:val="NoPaddingFontSize1"/>
      </w:pPr>
    </w:p>
    <w:p w:rsidR="00000000" w:rsidRPr="003D3507" w:rsidP="003D3507">
      <w:pPr>
        <w:pStyle w:val="Heading1"/>
      </w:pPr>
      <w:bookmarkStart w:id="2" w:name="O_1283205"/>
      <w:bookmarkEnd w:id="2"/>
      <w:r w:rsidRPr="003D350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D35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507" w:rsidP="003D3507">
            <w:pPr>
              <w:pStyle w:val="BodyText"/>
            </w:pPr>
            <w:r w:rsidRPr="003D3507">
              <w:t>This unit describes the skills required to undertake proof, trial and experimental firings of other calibre weapons.</w:t>
            </w:r>
          </w:p>
          <w:p w:rsidR="00000000" w:rsidRPr="003D3507" w:rsidP="003D3507">
            <w:pPr>
              <w:pStyle w:val="BodyText"/>
            </w:pPr>
            <w:r w:rsidRPr="003D3507">
              <w:t>This unit was developed for Defence personnel who are specialists working within proof, trial and experimental organisations, but may be applicable to any individual in this field of work.</w:t>
            </w:r>
          </w:p>
          <w:p w:rsidR="00000000" w:rsidRPr="003D3507" w:rsidP="003D3507">
            <w:pPr>
              <w:pStyle w:val="BodyText"/>
            </w:pPr>
            <w:r w:rsidRPr="003D3507">
              <w:t>The skills and knowledge described in this unit must be applied wit</w:t>
            </w:r>
            <w:r w:rsidRPr="003D3507">
              <w:t>hin the legislative, regulatory and policy environment in which they are carried out. Organisational policies and procedures must be consulted and adhered to.</w:t>
            </w:r>
          </w:p>
          <w:p w:rsidR="00000000" w:rsidRPr="003D3507" w:rsidP="003D3507">
            <w:pPr>
              <w:pStyle w:val="BodyText"/>
            </w:pPr>
            <w:r w:rsidRPr="003D3507">
              <w:t>Those undertaking this unit would work independently or as part of a weapon crew under direct and</w:t>
            </w:r>
            <w:r w:rsidRPr="003D3507">
              <w:t>/or indirect supervision, and would use discretion and judgement, and take responsibility for the quality of their output. They would perform routine tasks in known contexts.</w:t>
            </w:r>
          </w:p>
          <w:p w:rsidR="00000000" w:rsidRPr="003D3507" w:rsidP="003D3507">
            <w:pPr>
              <w:pStyle w:val="BodyText"/>
            </w:pPr>
            <w:r w:rsidRPr="003D3507">
              <w:t>No licensing, legislative or certification requirements apply to unit at the time</w:t>
            </w:r>
            <w:r w:rsidRPr="003D3507">
              <w:t xml:space="preserve"> of publication.</w:t>
            </w:r>
          </w:p>
        </w:tc>
      </w:tr>
    </w:tbl>
    <w:p w:rsidR="00005614" w:rsidP="003D3507">
      <w:pPr>
        <w:pStyle w:val="NoPaddingFontSize1"/>
      </w:pPr>
    </w:p>
    <w:p w:rsidR="00005614" w:rsidP="003D3507">
      <w:pPr>
        <w:pStyle w:val="NoPaddingFontSize1"/>
      </w:pPr>
    </w:p>
    <w:p w:rsidR="00000000" w:rsidRPr="003D3507" w:rsidP="003D3507">
      <w:pPr>
        <w:pStyle w:val="Heading1"/>
      </w:pPr>
      <w:bookmarkStart w:id="3" w:name="O_1283204"/>
      <w:bookmarkEnd w:id="3"/>
      <w:r w:rsidRPr="003D350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D35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507" w:rsidP="003D3507">
            <w:pPr>
              <w:pStyle w:val="BodyText"/>
            </w:pPr>
            <w:r w:rsidRPr="003D3507">
              <w:t>Not applicable.</w:t>
            </w:r>
          </w:p>
        </w:tc>
      </w:tr>
    </w:tbl>
    <w:p w:rsidR="00005614" w:rsidP="003D3507">
      <w:pPr>
        <w:pStyle w:val="NoPaddingFontSize1"/>
      </w:pPr>
    </w:p>
    <w:p w:rsidR="00005614" w:rsidP="003D3507">
      <w:pPr>
        <w:pStyle w:val="NoPaddingFontSize1"/>
      </w:pPr>
    </w:p>
    <w:p w:rsidR="00000000" w:rsidRPr="003D3507" w:rsidP="003D3507">
      <w:pPr>
        <w:pStyle w:val="Heading1"/>
      </w:pPr>
      <w:bookmarkStart w:id="4" w:name="O_1283203"/>
      <w:bookmarkEnd w:id="4"/>
      <w:r w:rsidRPr="003D350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D35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507" w:rsidP="003D3507">
            <w:pPr>
              <w:pStyle w:val="BodyText"/>
            </w:pPr>
            <w:r w:rsidRPr="003D3507">
              <w:t>Explosive Ordnance</w:t>
            </w:r>
          </w:p>
        </w:tc>
      </w:tr>
    </w:tbl>
    <w:p w:rsidR="00005614" w:rsidP="003D3507">
      <w:pPr>
        <w:pStyle w:val="NoPaddingFontSize1"/>
      </w:pPr>
    </w:p>
    <w:p w:rsidR="00005614" w:rsidP="003D3507">
      <w:pPr>
        <w:pStyle w:val="NoPaddingFontSize1"/>
      </w:pPr>
    </w:p>
    <w:p w:rsidR="00000000" w:rsidRPr="003D3507" w:rsidP="003D3507">
      <w:pPr>
        <w:pStyle w:val="Heading1"/>
      </w:pPr>
      <w:bookmarkStart w:id="5" w:name="O_1283202"/>
      <w:bookmarkEnd w:id="5"/>
      <w:r w:rsidRPr="003D350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D35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507" w:rsidP="003D3507">
            <w:pPr>
              <w:pStyle w:val="BodyText"/>
            </w:pPr>
            <w:r w:rsidRPr="003D3507">
              <w:t>Not applicable.</w:t>
            </w:r>
          </w:p>
        </w:tc>
      </w:tr>
    </w:tbl>
    <w:p w:rsidR="00005614" w:rsidP="003D3507">
      <w:pPr>
        <w:pStyle w:val="NoPaddingFontSize1"/>
      </w:pPr>
    </w:p>
    <w:p w:rsidR="00005614" w:rsidP="003D3507">
      <w:pPr>
        <w:pStyle w:val="NoPaddingFontSize1"/>
      </w:pPr>
    </w:p>
    <w:p w:rsidR="00000000" w:rsidRPr="003D3507" w:rsidP="003D3507">
      <w:pPr>
        <w:pStyle w:val="Heading1"/>
      </w:pPr>
      <w:bookmarkStart w:id="6" w:name="O_1283201"/>
      <w:bookmarkEnd w:id="6"/>
      <w:r w:rsidRPr="003D3507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3D35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507" w:rsidP="003D3507">
            <w:pPr>
              <w:pStyle w:val="BodyText"/>
            </w:pPr>
            <w:r w:rsidRPr="003D3507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507">
            <w:pPr>
              <w:pStyle w:val="BodyText"/>
              <w:rPr>
                <w:lang w:val="en-NZ"/>
              </w:rPr>
            </w:pPr>
            <w:r w:rsidRPr="003D3507">
              <w:rPr>
                <w:rStyle w:val="SpecialBold"/>
              </w:rPr>
              <w:t>PERFORMANCE CRITERIA</w:t>
            </w:r>
          </w:p>
        </w:tc>
      </w:tr>
      <w:tr w:rsidTr="003D35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507">
            <w:pPr>
              <w:pStyle w:val="BodyText"/>
              <w:rPr>
                <w:lang w:val="en-NZ"/>
              </w:rPr>
            </w:pPr>
            <w:r w:rsidRPr="003D3507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507">
            <w:pPr>
              <w:pStyle w:val="BodyText"/>
              <w:rPr>
                <w:lang w:val="en-NZ"/>
              </w:rPr>
            </w:pPr>
            <w:r w:rsidRPr="003D3507">
              <w:t>Performance criteria describe the performance needed to demonstrate achievement of the element.</w:t>
            </w:r>
          </w:p>
        </w:tc>
      </w:tr>
      <w:tr w:rsidTr="003D35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507" w:rsidP="003D3507">
            <w:pPr>
              <w:pStyle w:val="BodyText"/>
            </w:pPr>
            <w:r w:rsidRPr="003D3507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507" w:rsidP="003D3507">
            <w:pPr>
              <w:pStyle w:val="BodyText"/>
            </w:pPr>
            <w:r w:rsidRPr="003D3507">
              <w:rPr>
                <w:rStyle w:val="SpecialBold"/>
              </w:rPr>
              <w:t>Prepare for firing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507">
            <w:pPr>
              <w:pStyle w:val="BodyText"/>
              <w:rPr>
                <w:lang w:val="en-NZ"/>
              </w:rPr>
            </w:pPr>
            <w:r w:rsidRPr="003D3507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507">
            <w:pPr>
              <w:pStyle w:val="BodyText"/>
              <w:rPr>
                <w:lang w:val="en-NZ"/>
              </w:rPr>
            </w:pPr>
            <w:r w:rsidRPr="003D3507">
              <w:t>Carry and handle other calibre weapon system</w:t>
            </w:r>
          </w:p>
        </w:tc>
      </w:tr>
      <w:tr w:rsidTr="003D35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50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507">
            <w:pPr>
              <w:pStyle w:val="BodyText"/>
              <w:rPr>
                <w:lang w:val="en-NZ"/>
              </w:rPr>
            </w:pPr>
            <w:r w:rsidRPr="003D3507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507">
            <w:pPr>
              <w:pStyle w:val="BodyText"/>
              <w:rPr>
                <w:lang w:val="en-NZ"/>
              </w:rPr>
            </w:pPr>
            <w:r w:rsidRPr="003D3507">
              <w:t>Identify, select and handle ammunition</w:t>
            </w:r>
          </w:p>
        </w:tc>
      </w:tr>
      <w:tr w:rsidTr="003D35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50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507">
            <w:pPr>
              <w:pStyle w:val="BodyText"/>
              <w:rPr>
                <w:lang w:val="en-NZ"/>
              </w:rPr>
            </w:pPr>
            <w:r w:rsidRPr="003D3507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507">
            <w:pPr>
              <w:pStyle w:val="BodyText"/>
              <w:rPr>
                <w:lang w:val="en-NZ"/>
              </w:rPr>
            </w:pPr>
            <w:r w:rsidRPr="003D3507">
              <w:t>Conduct weapons drills</w:t>
            </w:r>
          </w:p>
        </w:tc>
      </w:tr>
      <w:tr w:rsidTr="003D35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50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507">
            <w:pPr>
              <w:pStyle w:val="BodyText"/>
              <w:rPr>
                <w:lang w:val="en-NZ"/>
              </w:rPr>
            </w:pPr>
            <w:r w:rsidRPr="003D3507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507">
            <w:pPr>
              <w:pStyle w:val="BodyText"/>
              <w:rPr>
                <w:lang w:val="en-NZ"/>
              </w:rPr>
            </w:pPr>
            <w:r w:rsidRPr="003D3507">
              <w:t>Adopt fire positions in accordance with the proof, trial and experimental requirement</w:t>
            </w:r>
          </w:p>
        </w:tc>
      </w:tr>
      <w:tr w:rsidTr="003D35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50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507">
            <w:pPr>
              <w:pStyle w:val="BodyText"/>
              <w:rPr>
                <w:lang w:val="en-NZ"/>
              </w:rPr>
            </w:pPr>
            <w:r w:rsidRPr="003D3507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507">
            <w:pPr>
              <w:pStyle w:val="BodyText"/>
              <w:rPr>
                <w:lang w:val="en-NZ"/>
              </w:rPr>
            </w:pPr>
            <w:r w:rsidRPr="003D3507">
              <w:t>Prepare and secure static fired weapons</w:t>
            </w:r>
          </w:p>
        </w:tc>
      </w:tr>
      <w:tr w:rsidTr="003D35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50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507">
            <w:pPr>
              <w:pStyle w:val="BodyText"/>
              <w:rPr>
                <w:lang w:val="en-NZ"/>
              </w:rPr>
            </w:pPr>
            <w:r w:rsidRPr="003D3507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507">
            <w:pPr>
              <w:pStyle w:val="BodyText"/>
              <w:rPr>
                <w:lang w:val="en-NZ"/>
              </w:rPr>
            </w:pPr>
            <w:r w:rsidRPr="003D3507">
              <w:t>Secure ammunition</w:t>
            </w:r>
          </w:p>
        </w:tc>
      </w:tr>
      <w:tr w:rsidTr="003D35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507" w:rsidP="003D3507">
            <w:pPr>
              <w:pStyle w:val="BodyText"/>
            </w:pPr>
            <w:r w:rsidRPr="003D3507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507" w:rsidP="003D3507">
            <w:pPr>
              <w:pStyle w:val="BodyText"/>
            </w:pPr>
            <w:r w:rsidRPr="003D3507">
              <w:rPr>
                <w:rStyle w:val="SpecialBold"/>
              </w:rPr>
              <w:t>Fire weapons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507">
            <w:pPr>
              <w:pStyle w:val="BodyText"/>
              <w:rPr>
                <w:lang w:val="en-NZ"/>
              </w:rPr>
            </w:pPr>
            <w:r w:rsidRPr="003D3507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507">
            <w:pPr>
              <w:pStyle w:val="BodyText"/>
              <w:rPr>
                <w:lang w:val="en-NZ"/>
              </w:rPr>
            </w:pPr>
            <w:r w:rsidRPr="003D3507">
              <w:t>Fire weapons in a person fired or static fired mode</w:t>
            </w:r>
          </w:p>
        </w:tc>
      </w:tr>
      <w:tr w:rsidTr="003D35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50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507">
            <w:pPr>
              <w:pStyle w:val="BodyText"/>
              <w:rPr>
                <w:lang w:val="en-NZ"/>
              </w:rPr>
            </w:pPr>
            <w:r w:rsidRPr="003D3507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507">
            <w:pPr>
              <w:pStyle w:val="BodyText"/>
              <w:rPr>
                <w:lang w:val="en-NZ"/>
              </w:rPr>
            </w:pPr>
            <w:r w:rsidRPr="003D3507">
              <w:t>Employ weapon sighting systems and associated equipment</w:t>
            </w:r>
          </w:p>
        </w:tc>
      </w:tr>
      <w:tr w:rsidTr="003D35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50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507">
            <w:pPr>
              <w:pStyle w:val="BodyText"/>
              <w:rPr>
                <w:lang w:val="en-NZ"/>
              </w:rPr>
            </w:pPr>
            <w:r w:rsidRPr="003D3507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507">
            <w:pPr>
              <w:pStyle w:val="BodyText"/>
              <w:rPr>
                <w:lang w:val="en-NZ"/>
              </w:rPr>
            </w:pPr>
            <w:r w:rsidRPr="003D3507">
              <w:t>Identify and engage targets</w:t>
            </w:r>
          </w:p>
        </w:tc>
      </w:tr>
      <w:tr w:rsidTr="003D35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50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507">
            <w:pPr>
              <w:pStyle w:val="BodyText"/>
              <w:rPr>
                <w:lang w:val="en-NZ"/>
              </w:rPr>
            </w:pPr>
            <w:r w:rsidRPr="003D3507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507">
            <w:pPr>
              <w:pStyle w:val="BodyText"/>
              <w:rPr>
                <w:lang w:val="en-NZ"/>
              </w:rPr>
            </w:pPr>
            <w:r w:rsidRPr="003D3507">
              <w:t>Report incidents</w:t>
            </w:r>
          </w:p>
        </w:tc>
      </w:tr>
      <w:tr w:rsidTr="003D35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507" w:rsidP="003D3507">
            <w:pPr>
              <w:pStyle w:val="BodyText"/>
            </w:pPr>
            <w:r w:rsidRPr="003D3507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507" w:rsidP="003D3507">
            <w:pPr>
              <w:pStyle w:val="BodyText"/>
            </w:pPr>
            <w:r w:rsidRPr="003D3507">
              <w:rPr>
                <w:rStyle w:val="SpecialBold"/>
              </w:rPr>
              <w:t>Finalise firing and maintain stores and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507">
            <w:pPr>
              <w:pStyle w:val="BodyText"/>
              <w:rPr>
                <w:lang w:val="en-NZ"/>
              </w:rPr>
            </w:pPr>
            <w:r w:rsidRPr="003D3507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507">
            <w:pPr>
              <w:pStyle w:val="BodyText"/>
              <w:rPr>
                <w:lang w:val="en-NZ"/>
              </w:rPr>
            </w:pPr>
            <w:r w:rsidRPr="003D3507">
              <w:t>Undertake operator maintenance</w:t>
            </w:r>
          </w:p>
        </w:tc>
      </w:tr>
      <w:tr w:rsidTr="003D35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50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507">
            <w:pPr>
              <w:pStyle w:val="BodyText"/>
              <w:rPr>
                <w:lang w:val="en-NZ"/>
              </w:rPr>
            </w:pPr>
            <w:r w:rsidRPr="003D3507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507">
            <w:pPr>
              <w:pStyle w:val="BodyText"/>
              <w:rPr>
                <w:lang w:val="en-NZ"/>
              </w:rPr>
            </w:pPr>
            <w:r w:rsidRPr="003D3507">
              <w:t>Identify and report defects</w:t>
            </w:r>
          </w:p>
        </w:tc>
      </w:tr>
      <w:tr w:rsidTr="003D35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50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507">
            <w:pPr>
              <w:pStyle w:val="BodyText"/>
              <w:rPr>
                <w:lang w:val="en-NZ"/>
              </w:rPr>
            </w:pPr>
            <w:r w:rsidRPr="003D3507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507">
            <w:pPr>
              <w:pStyle w:val="BodyText"/>
              <w:rPr>
                <w:lang w:val="en-NZ"/>
              </w:rPr>
            </w:pPr>
            <w:r w:rsidRPr="003D3507">
              <w:t>Refurbish ranges</w:t>
            </w:r>
          </w:p>
        </w:tc>
      </w:tr>
      <w:tr w:rsidTr="003D35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50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507">
            <w:pPr>
              <w:pStyle w:val="BodyText"/>
              <w:rPr>
                <w:lang w:val="en-NZ"/>
              </w:rPr>
            </w:pPr>
            <w:r w:rsidRPr="003D3507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507">
            <w:pPr>
              <w:pStyle w:val="BodyText"/>
              <w:rPr>
                <w:lang w:val="en-NZ"/>
              </w:rPr>
            </w:pPr>
            <w:r w:rsidRPr="003D3507">
              <w:t>Complete post-range practice administration</w:t>
            </w:r>
          </w:p>
        </w:tc>
      </w:tr>
      <w:tr w:rsidTr="003D35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50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507">
            <w:pPr>
              <w:pStyle w:val="BodyText"/>
              <w:rPr>
                <w:lang w:val="en-NZ"/>
              </w:rPr>
            </w:pPr>
            <w:r w:rsidRPr="003D3507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507">
            <w:pPr>
              <w:pStyle w:val="BodyText"/>
              <w:rPr>
                <w:lang w:val="en-NZ"/>
              </w:rPr>
            </w:pPr>
            <w:r w:rsidRPr="003D3507">
              <w:t>Record and report observations on the firing</w:t>
            </w:r>
          </w:p>
        </w:tc>
      </w:tr>
      <w:tr w:rsidTr="003D35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507" w:rsidP="003D3507">
            <w:pPr>
              <w:pStyle w:val="BodyText"/>
            </w:pPr>
            <w:r w:rsidRPr="003D3507">
              <w:tab/>
            </w:r>
          </w:p>
        </w:tc>
      </w:tr>
    </w:tbl>
    <w:p w:rsidR="00005614" w:rsidP="003D3507">
      <w:pPr>
        <w:pStyle w:val="NoPaddingFontSize1"/>
      </w:pPr>
    </w:p>
    <w:p w:rsidR="00005614" w:rsidP="003D3507">
      <w:pPr>
        <w:pStyle w:val="NoPaddingFontSize1"/>
      </w:pPr>
    </w:p>
    <w:p w:rsidR="00000000" w:rsidRPr="003D3507" w:rsidP="003D3507">
      <w:pPr>
        <w:pStyle w:val="Heading1"/>
      </w:pPr>
      <w:bookmarkStart w:id="7" w:name="O_1283200"/>
      <w:bookmarkEnd w:id="7"/>
      <w:r w:rsidRPr="003D350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D35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507" w:rsidP="003D3507">
            <w:pPr>
              <w:pStyle w:val="BodyText"/>
            </w:pPr>
            <w:r w:rsidRPr="003D3507">
              <w:t>Foundation skills essential to performance are explicit in the performance criteria of this unit of competency.</w:t>
            </w:r>
          </w:p>
        </w:tc>
      </w:tr>
    </w:tbl>
    <w:p w:rsidR="00005614" w:rsidP="003D3507">
      <w:pPr>
        <w:pStyle w:val="NoPaddingFontSize1"/>
      </w:pPr>
    </w:p>
    <w:p w:rsidR="00005614" w:rsidP="003D3507">
      <w:pPr>
        <w:pStyle w:val="NoPaddingFontSize1"/>
      </w:pPr>
    </w:p>
    <w:p w:rsidR="00000000" w:rsidRPr="003D3507" w:rsidP="003D3507">
      <w:pPr>
        <w:pStyle w:val="Heading1"/>
      </w:pPr>
      <w:bookmarkStart w:id="8" w:name="O_1283199"/>
      <w:bookmarkEnd w:id="8"/>
      <w:r w:rsidRPr="003D350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D35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507" w:rsidP="003D3507">
            <w:pPr>
              <w:pStyle w:val="BodyText"/>
            </w:pPr>
            <w:r w:rsidRPr="003D3507">
              <w:t>Range is restricted to essential operating conditions and any other variables essential to the work en</w:t>
            </w:r>
            <w:r w:rsidRPr="003D3507">
              <w:t>vironment.</w:t>
            </w:r>
          </w:p>
          <w:p w:rsidR="00000000" w:rsidRPr="003D3507" w:rsidP="003D3507">
            <w:pPr>
              <w:pStyle w:val="BodyText"/>
            </w:pPr>
            <w:r w:rsidRPr="003D3507">
              <w:t>Non-essential conditions may be found in the Companion Volume Implementation Guide.</w:t>
            </w:r>
          </w:p>
        </w:tc>
      </w:tr>
    </w:tbl>
    <w:p w:rsidR="00005614" w:rsidP="003D3507">
      <w:pPr>
        <w:pStyle w:val="NoPaddingFontSize1"/>
      </w:pPr>
    </w:p>
    <w:p w:rsidR="00005614" w:rsidP="003D3507">
      <w:pPr>
        <w:pStyle w:val="NoPaddingFontSize1"/>
      </w:pPr>
    </w:p>
    <w:p w:rsidR="00000000" w:rsidRPr="003D3507" w:rsidP="003D3507">
      <w:pPr>
        <w:pStyle w:val="Heading1"/>
      </w:pPr>
      <w:bookmarkStart w:id="9" w:name="O_1283198"/>
      <w:bookmarkEnd w:id="9"/>
      <w:r w:rsidRPr="003D350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D35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507" w:rsidP="003D3507">
            <w:pPr>
              <w:pStyle w:val="BodyText"/>
            </w:pPr>
            <w:r w:rsidRPr="003D3507">
              <w:t>This unit supersedes and is equivalent to DEFEO802A Undertake proof firings of other calibre weapons.</w:t>
            </w:r>
          </w:p>
        </w:tc>
      </w:tr>
    </w:tbl>
    <w:p w:rsidR="00005614" w:rsidP="003D3507">
      <w:pPr>
        <w:pStyle w:val="NoPaddingFontSize1"/>
      </w:pPr>
    </w:p>
    <w:p w:rsidR="00005614" w:rsidP="003D3507">
      <w:pPr>
        <w:pStyle w:val="NoPaddingFontSize1"/>
      </w:pPr>
    </w:p>
    <w:p w:rsidR="00000000" w:rsidRPr="003D3507" w:rsidP="003D3507">
      <w:pPr>
        <w:pStyle w:val="Heading1"/>
      </w:pPr>
      <w:bookmarkStart w:id="10" w:name="O_1283207"/>
      <w:bookmarkEnd w:id="10"/>
      <w:r w:rsidRPr="003D3507">
        <w:t>Links</w:t>
      </w:r>
    </w:p>
    <w:p w:rsidR="00000000" w:rsidRPr="003D3507" w:rsidP="00005614">
      <w:pPr>
        <w:pStyle w:val="BodyText"/>
      </w:pPr>
      <w:r w:rsidRPr="003D350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642E74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3D3507" w:rsidP="003D3507"/>
    <w:sectPr w:rsidSect="003D350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5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507" w:rsidRPr="00005614" w:rsidP="000056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5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614" w:rsidP="003D35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05614" w:rsidP="003D35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005614" w:rsidP="003D35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5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6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3507" w:rsidRPr="00005614" w:rsidP="000056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5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614" w:rsidRPr="002D2AF8" w:rsidP="003D35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DEFEXO143 Undertake firings of other calibre weapons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005614" w:rsidP="003D35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622E1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4E8F9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35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35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35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35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35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35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35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35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35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35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35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3507"/>
  </w:style>
  <w:style w:type="character" w:customStyle="1" w:styleId="Heading1Char">
    <w:name w:val="Heading 1 Char"/>
    <w:basedOn w:val="DefaultParagraphFont"/>
    <w:link w:val="Heading1"/>
    <w:rsid w:val="003D35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35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35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D350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D3507"/>
    <w:rPr>
      <w:b/>
      <w:spacing w:val="0"/>
    </w:rPr>
  </w:style>
  <w:style w:type="paragraph" w:customStyle="1" w:styleId="SuperHeading">
    <w:name w:val="SuperHeading"/>
    <w:basedOn w:val="Normal"/>
    <w:rsid w:val="003D35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35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D35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35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35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35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35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35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35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35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35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35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35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35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35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35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35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35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35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35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35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D35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D35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35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35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D350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D35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35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35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35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35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35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35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35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350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D3507"/>
    <w:rPr>
      <w:i/>
    </w:rPr>
  </w:style>
  <w:style w:type="paragraph" w:styleId="Caption">
    <w:name w:val="caption"/>
    <w:basedOn w:val="BodyText"/>
    <w:next w:val="Normal"/>
    <w:qFormat/>
    <w:rsid w:val="003D35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35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35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3507"/>
  </w:style>
  <w:style w:type="paragraph" w:styleId="TableofFigures">
    <w:name w:val="table of figures"/>
    <w:basedOn w:val="Normal"/>
    <w:next w:val="Normal"/>
    <w:semiHidden/>
    <w:rsid w:val="003D35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350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D3507"/>
    <w:rPr>
      <w:rFonts w:ascii="Wingdings" w:hAnsi="Wingdings"/>
    </w:rPr>
  </w:style>
  <w:style w:type="paragraph" w:customStyle="1" w:styleId="TableHeading">
    <w:name w:val="Table Heading"/>
    <w:basedOn w:val="HeadingBase"/>
    <w:rsid w:val="003D35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3507"/>
    <w:rPr>
      <w:color w:val="0033CC"/>
      <w:u w:val="none"/>
    </w:rPr>
  </w:style>
  <w:style w:type="paragraph" w:customStyle="1" w:styleId="BodyTextRight">
    <w:name w:val="Body Text Right"/>
    <w:basedOn w:val="BodyText"/>
    <w:rsid w:val="003D35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35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350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35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35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35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3507"/>
    <w:rPr>
      <w:sz w:val="32"/>
    </w:rPr>
  </w:style>
  <w:style w:type="paragraph" w:customStyle="1" w:styleId="HeadingProcedure">
    <w:name w:val="Heading Procedure"/>
    <w:basedOn w:val="HeadingBase"/>
    <w:next w:val="Normal"/>
    <w:rsid w:val="003D35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3507"/>
    <w:pPr>
      <w:spacing w:before="60" w:after="60"/>
    </w:pPr>
  </w:style>
  <w:style w:type="paragraph" w:styleId="ListContinue">
    <w:name w:val="List Continue"/>
    <w:basedOn w:val="List"/>
    <w:rsid w:val="003D3507"/>
    <w:pPr>
      <w:ind w:firstLine="0"/>
    </w:pPr>
  </w:style>
  <w:style w:type="paragraph" w:customStyle="1" w:styleId="ListNote">
    <w:name w:val="List Note"/>
    <w:basedOn w:val="List"/>
    <w:rsid w:val="003D35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35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35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3507"/>
    <w:rPr>
      <w:rFonts w:ascii="Courier New" w:hAnsi="Courier New"/>
    </w:rPr>
  </w:style>
  <w:style w:type="paragraph" w:customStyle="1" w:styleId="NoteBullet">
    <w:name w:val="Note Bullet"/>
    <w:basedOn w:val="Note"/>
    <w:rsid w:val="003D35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35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35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35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350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D35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35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3507"/>
    <w:rPr>
      <w:b/>
      <w:smallCaps/>
    </w:rPr>
  </w:style>
  <w:style w:type="paragraph" w:customStyle="1" w:styleId="TableListNumber">
    <w:name w:val="Table List Number"/>
    <w:basedOn w:val="ListNumber"/>
    <w:rsid w:val="003D35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35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3507"/>
    <w:pPr>
      <w:numPr>
        <w:numId w:val="8"/>
      </w:numPr>
    </w:pPr>
  </w:style>
  <w:style w:type="paragraph" w:customStyle="1" w:styleId="ListAlpha2">
    <w:name w:val="List Alpha 2"/>
    <w:basedOn w:val="List2"/>
    <w:rsid w:val="003D3507"/>
    <w:pPr>
      <w:numPr>
        <w:numId w:val="7"/>
      </w:numPr>
    </w:pPr>
  </w:style>
  <w:style w:type="paragraph" w:styleId="List2">
    <w:name w:val="List 2"/>
    <w:basedOn w:val="BodyText"/>
    <w:rsid w:val="003D35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35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35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35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350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350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D3507"/>
    <w:pPr>
      <w:numPr>
        <w:numId w:val="3"/>
      </w:numPr>
    </w:pPr>
  </w:style>
  <w:style w:type="paragraph" w:styleId="ListContinue2">
    <w:name w:val="List Continue 2"/>
    <w:basedOn w:val="List2"/>
    <w:rsid w:val="003D3507"/>
    <w:pPr>
      <w:ind w:firstLine="0"/>
    </w:pPr>
  </w:style>
  <w:style w:type="paragraph" w:styleId="ListContinue3">
    <w:name w:val="List Continue 3"/>
    <w:basedOn w:val="List3"/>
    <w:rsid w:val="003D3507"/>
    <w:pPr>
      <w:ind w:left="1021" w:firstLine="0"/>
    </w:pPr>
  </w:style>
  <w:style w:type="paragraph" w:styleId="ListContinue4">
    <w:name w:val="List Continue 4"/>
    <w:basedOn w:val="List4"/>
    <w:rsid w:val="003D3507"/>
    <w:pPr>
      <w:ind w:firstLine="0"/>
    </w:pPr>
  </w:style>
  <w:style w:type="paragraph" w:styleId="ListContinue5">
    <w:name w:val="List Continue 5"/>
    <w:basedOn w:val="List5"/>
    <w:rsid w:val="003D3507"/>
    <w:pPr>
      <w:ind w:firstLine="0"/>
    </w:pPr>
  </w:style>
  <w:style w:type="paragraph" w:styleId="ListNumber3">
    <w:name w:val="List Number 3"/>
    <w:basedOn w:val="List3"/>
    <w:rsid w:val="003D3507"/>
    <w:pPr>
      <w:numPr>
        <w:numId w:val="4"/>
      </w:numPr>
    </w:pPr>
  </w:style>
  <w:style w:type="paragraph" w:styleId="ListNumber4">
    <w:name w:val="List Number 4"/>
    <w:basedOn w:val="List4"/>
    <w:rsid w:val="003D3507"/>
    <w:pPr>
      <w:numPr>
        <w:numId w:val="5"/>
      </w:numPr>
    </w:pPr>
  </w:style>
  <w:style w:type="paragraph" w:styleId="ListNumber5">
    <w:name w:val="List Number 5"/>
    <w:basedOn w:val="List5"/>
    <w:rsid w:val="003D3507"/>
    <w:pPr>
      <w:numPr>
        <w:numId w:val="6"/>
      </w:numPr>
    </w:pPr>
  </w:style>
  <w:style w:type="paragraph" w:styleId="BlockText">
    <w:name w:val="Block Text"/>
    <w:basedOn w:val="Normal"/>
    <w:rsid w:val="003D35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35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3507"/>
    <w:rPr>
      <w:sz w:val="16"/>
      <w:vertAlign w:val="superscript"/>
    </w:rPr>
  </w:style>
  <w:style w:type="character" w:customStyle="1" w:styleId="Symbols">
    <w:name w:val="Symbols"/>
    <w:basedOn w:val="DefaultParagraphFont"/>
    <w:rsid w:val="003D3507"/>
    <w:rPr>
      <w:rFonts w:ascii="Symbol" w:hAnsi="Symbol"/>
    </w:rPr>
  </w:style>
  <w:style w:type="character" w:customStyle="1" w:styleId="MenuOptions">
    <w:name w:val="Menu Options"/>
    <w:basedOn w:val="DefaultParagraphFont"/>
    <w:rsid w:val="003D35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3507"/>
    <w:rPr>
      <w:b/>
    </w:rPr>
  </w:style>
  <w:style w:type="character" w:customStyle="1" w:styleId="Underlined">
    <w:name w:val="Underlined"/>
    <w:basedOn w:val="DefaultParagraphFont"/>
    <w:rsid w:val="003D3507"/>
    <w:rPr>
      <w:u w:val="single"/>
    </w:rPr>
  </w:style>
  <w:style w:type="paragraph" w:customStyle="1" w:styleId="TableBodyTextRight">
    <w:name w:val="Table Body Text Right"/>
    <w:basedOn w:val="TableBodyText"/>
    <w:rsid w:val="003D35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3507"/>
    <w:rPr>
      <w:sz w:val="18"/>
    </w:rPr>
  </w:style>
  <w:style w:type="paragraph" w:customStyle="1" w:styleId="BodySmallRight">
    <w:name w:val="Body Small Right"/>
    <w:basedOn w:val="BodyTextRight"/>
    <w:rsid w:val="003D3507"/>
    <w:rPr>
      <w:sz w:val="18"/>
      <w:szCs w:val="18"/>
    </w:rPr>
  </w:style>
  <w:style w:type="paragraph" w:customStyle="1" w:styleId="MarginEdition">
    <w:name w:val="Margin Edition"/>
    <w:basedOn w:val="MarginNote"/>
    <w:rsid w:val="003D35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3507"/>
    <w:rPr>
      <w:sz w:val="2"/>
      <w:szCs w:val="2"/>
    </w:rPr>
  </w:style>
  <w:style w:type="character" w:customStyle="1" w:styleId="Small">
    <w:name w:val="Small"/>
    <w:basedOn w:val="DefaultParagraphFont"/>
    <w:rsid w:val="003D3507"/>
    <w:rPr>
      <w:sz w:val="16"/>
    </w:rPr>
  </w:style>
  <w:style w:type="paragraph" w:customStyle="1" w:styleId="WideTable">
    <w:name w:val="Wide Table"/>
    <w:basedOn w:val="Normal"/>
    <w:rsid w:val="003D35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3507"/>
  </w:style>
  <w:style w:type="paragraph" w:styleId="Quote">
    <w:name w:val="Quote"/>
    <w:basedOn w:val="Heading1"/>
    <w:link w:val="QuoteChar"/>
    <w:qFormat/>
    <w:rsid w:val="003D35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35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3507"/>
    <w:pPr>
      <w:pageBreakBefore/>
    </w:pPr>
  </w:style>
  <w:style w:type="paragraph" w:customStyle="1" w:styleId="Border">
    <w:name w:val="Border"/>
    <w:basedOn w:val="Normal"/>
    <w:qFormat/>
    <w:rsid w:val="003D35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35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35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35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35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35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35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35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35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3507"/>
    <w:rPr>
      <w:u w:val="single"/>
    </w:rPr>
  </w:style>
  <w:style w:type="character" w:customStyle="1" w:styleId="BoldandItalics">
    <w:name w:val="Bold and Italics"/>
    <w:qFormat/>
    <w:rsid w:val="003D3507"/>
    <w:rPr>
      <w:b/>
      <w:i/>
      <w:u w:val="none"/>
    </w:rPr>
  </w:style>
  <w:style w:type="paragraph" w:styleId="BalloonText">
    <w:name w:val="Balloon Text"/>
    <w:basedOn w:val="Normal"/>
    <w:link w:val="BalloonTextChar"/>
    <w:rsid w:val="003D35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35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35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35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35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35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3507"/>
    <w:pPr>
      <w:spacing w:before="0" w:after="0"/>
    </w:pPr>
  </w:style>
  <w:style w:type="paragraph" w:customStyle="1" w:styleId="BodyTextBold">
    <w:name w:val="Body Text Bold"/>
    <w:basedOn w:val="BodyText"/>
    <w:qFormat/>
    <w:rsid w:val="003D3507"/>
    <w:rPr>
      <w:b/>
    </w:rPr>
  </w:style>
  <w:style w:type="character" w:styleId="Hyperlink">
    <w:name w:val="Hyperlink"/>
    <w:basedOn w:val="DefaultParagraphFont"/>
    <w:uiPriority w:val="99"/>
    <w:unhideWhenUsed/>
    <w:rsid w:val="000056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497</Words>
  <Characters>3016</Characters>
  <Application>Microsoft Office Word</Application>
  <DocSecurity>0</DocSecurity>
  <Lines>158</Lines>
  <Paragraphs>92</Paragraphs>
  <ScaleCrop>false</ScaleCrop>
  <Company>Author-it Software Corporation Ltd.</Company>
  <LinksUpToDate>false</LinksUpToDate>
  <CharactersWithSpaces>3421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DEFEXO143 Undertake firings of other calibre weapons</dc:title>
  <dc:subject>Approved</dc:subject>
  <dc:creator>Public Skills Australia</dc:creator>
  <cp:keywords>Release: 3</cp:keywords>
  <dc:description>Review Date: 12 April 2008</dc:description>
  <cp:lastModifiedBy>HSD_TPCMSd.prod</cp:lastModifiedBy>
  <cp:revision>3</cp:revision>
  <dcterms:created xsi:type="dcterms:W3CDTF">2024-11-07T11:45:00Z</dcterms:created>
  <dcterms:modified xsi:type="dcterms:W3CDTF">2024-11-07T11:45:00Z</dcterms:modified>
</cp:coreProperties>
</file>