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5431" w:rsidP="003E5431">
      <w:pPr>
        <w:pStyle w:val="Title"/>
      </w:pPr>
      <w:r>
        <w:fldChar w:fldCharType="begin"/>
      </w:r>
      <w:r>
        <w:instrText xml:space="preserve"> TITLE   \* MERGEFORMAT </w:instrText>
      </w:r>
      <w:r>
        <w:fldChar w:fldCharType="separate"/>
      </w:r>
      <w:r>
        <w:t>DEFEXO129 Develop unique explosives</w:t>
      </w:r>
      <w:r>
        <w:fldChar w:fldCharType="end"/>
      </w:r>
    </w:p>
    <w:p w:rsidR="003E5431" w:rsidP="003E5431">
      <w:pPr>
        <w:pStyle w:val="Version"/>
        <w:sectPr w:rsidSect="00A976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976FE" w:rsidP="00A976FE">
      <w:pPr>
        <w:pStyle w:val="SuperHeading"/>
      </w:pPr>
      <w:r w:rsidRPr="00A976FE">
        <w:t>DEFEXO129 Develop unique explosives</w:t>
      </w:r>
    </w:p>
    <w:p w:rsidR="00000000" w:rsidRPr="00A976FE" w:rsidP="00A976FE">
      <w:pPr>
        <w:pStyle w:val="Heading1"/>
      </w:pPr>
      <w:bookmarkStart w:id="1" w:name="O_1098349"/>
      <w:bookmarkEnd w:id="1"/>
      <w:r w:rsidRPr="00A976FE">
        <w:t>Modification History</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Release 2. Modifications made to Foundation Skills and Assessment Conditions.</w:t>
            </w:r>
          </w:p>
        </w:tc>
      </w:tr>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Release 1. This unit was released in DEF Defence Training Package release 1.0 and meets the Standards for Training Packages.</w:t>
            </w:r>
          </w:p>
          <w:p w:rsidR="00000000" w:rsidRPr="00A976FE" w:rsidP="00A976FE">
            <w:pPr>
              <w:pStyle w:val="BodyText"/>
            </w:pPr>
            <w:r w:rsidRPr="00A976FE">
              <w:t>This unit supersedes and is equ</w:t>
            </w:r>
            <w:r w:rsidRPr="00A976FE">
              <w:t>ivalent to DEFEO606D Develop unique explosives.</w:t>
            </w:r>
          </w:p>
          <w:p w:rsidR="00000000" w:rsidRPr="00A976FE" w:rsidP="00A976FE">
            <w:pPr>
              <w:pStyle w:val="ListBullet"/>
            </w:pPr>
            <w:r w:rsidRPr="00A976FE">
              <w:t>Unit code updated</w:t>
            </w:r>
          </w:p>
          <w:p w:rsidR="00000000" w:rsidRPr="00A976FE" w:rsidP="00A976FE">
            <w:pPr>
              <w:pStyle w:val="ListBullet"/>
            </w:pPr>
            <w:r w:rsidRPr="00A976FE">
              <w:t>Content and formatting updated to comply with the new standards</w:t>
            </w:r>
          </w:p>
          <w:p w:rsidR="00000000" w:rsidRPr="00A976FE" w:rsidP="00A976FE">
            <w:pPr>
              <w:pStyle w:val="ListBullet"/>
            </w:pPr>
            <w:r w:rsidRPr="00A976FE">
              <w:t>All PC transitioned from passive to active voice</w:t>
            </w:r>
          </w:p>
          <w:p w:rsidR="00000000" w:rsidRPr="00A976FE" w:rsidP="00A976FE">
            <w:pPr>
              <w:pStyle w:val="ListBullet"/>
            </w:pPr>
            <w:r w:rsidRPr="00A976FE">
              <w:t>PC 1.4 removed</w:t>
            </w:r>
          </w:p>
          <w:p w:rsidR="00000000" w:rsidRPr="00A976FE" w:rsidP="00A976FE">
            <w:pPr>
              <w:pStyle w:val="ListBullet"/>
            </w:pPr>
            <w:r w:rsidRPr="00A976FE">
              <w:t>PC 1.6 and 1.7 merged</w:t>
            </w:r>
          </w:p>
        </w:tc>
      </w:tr>
    </w:tbl>
    <w:p w:rsidR="003E5431" w:rsidP="00A976FE">
      <w:pPr>
        <w:pStyle w:val="NoPaddingFontSize1"/>
      </w:pPr>
    </w:p>
    <w:p w:rsidR="003E5431" w:rsidP="00A976FE">
      <w:pPr>
        <w:pStyle w:val="NoPaddingFontSize1"/>
      </w:pPr>
    </w:p>
    <w:p w:rsidR="00000000" w:rsidRPr="00A976FE" w:rsidP="00A976FE">
      <w:pPr>
        <w:pStyle w:val="Heading1"/>
      </w:pPr>
      <w:bookmarkStart w:id="2" w:name="O_1098348"/>
      <w:bookmarkEnd w:id="2"/>
      <w:r w:rsidRPr="00A976FE">
        <w:t>Application</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 xml:space="preserve">This unit describes the skills required to develop unique explosives within the research environment. Unique explosives are explosives that may be required for a specific function, they are developed when explosives that are commonly available do not meet </w:t>
            </w:r>
            <w:r w:rsidRPr="00A976FE">
              <w:t>this requirement and are generally produced to client specifications.</w:t>
            </w:r>
          </w:p>
          <w:p w:rsidR="00000000" w:rsidRPr="00A976FE" w:rsidP="00A976FE">
            <w:pPr>
              <w:pStyle w:val="BodyText"/>
            </w:pPr>
            <w:r w:rsidRPr="00A976FE">
              <w:t>This unit applies to those required to develop, test and manufacture unique explosives within the research environment.</w:t>
            </w:r>
          </w:p>
          <w:p w:rsidR="00000000" w:rsidRPr="00A976FE" w:rsidP="00A976FE">
            <w:pPr>
              <w:pStyle w:val="BodyText"/>
            </w:pPr>
            <w:r w:rsidRPr="00A976FE">
              <w:t>The skills and knowledge described in this unit must be applied wi</w:t>
            </w:r>
            <w:r w:rsidRPr="00A976FE">
              <w:t>thin the legislative, regulatory and policy environment in which they are carried out. Organisational policies and procedures must be consulted and adhered to.</w:t>
            </w:r>
          </w:p>
          <w:p w:rsidR="00000000" w:rsidRPr="00A976FE" w:rsidP="00A976FE">
            <w:pPr>
              <w:pStyle w:val="BodyText"/>
            </w:pPr>
            <w:r w:rsidRPr="00A976FE">
              <w:t>Those undertaking this unit would work individually or as part of a team, using discretion and j</w:t>
            </w:r>
            <w:r w:rsidRPr="00A976FE">
              <w:t>udgement and taking responsibility for the quality of their outputs. They would conduct complex tasks in a range of contexts.</w:t>
            </w:r>
          </w:p>
          <w:p w:rsidR="00000000" w:rsidRPr="00A976FE" w:rsidP="00A976FE">
            <w:pPr>
              <w:pStyle w:val="BodyText"/>
            </w:pPr>
            <w:r w:rsidRPr="00A976FE">
              <w:t>No licensing, legislative or certification requirements apply to unit at the time of publication.</w:t>
            </w:r>
          </w:p>
        </w:tc>
      </w:tr>
    </w:tbl>
    <w:p w:rsidR="003E5431" w:rsidP="00A976FE">
      <w:pPr>
        <w:pStyle w:val="NoPaddingFontSize1"/>
      </w:pPr>
    </w:p>
    <w:p w:rsidR="003E5431" w:rsidP="00A976FE">
      <w:pPr>
        <w:pStyle w:val="NoPaddingFontSize1"/>
      </w:pPr>
    </w:p>
    <w:p w:rsidR="00000000" w:rsidRPr="00A976FE" w:rsidP="00A976FE">
      <w:pPr>
        <w:pStyle w:val="Heading1"/>
      </w:pPr>
      <w:bookmarkStart w:id="3" w:name="O_1106002"/>
      <w:bookmarkEnd w:id="3"/>
      <w:r w:rsidRPr="00A976FE">
        <w:t>Pre-requis</w:t>
      </w:r>
      <w:r w:rsidRPr="00A976FE">
        <w:t>ite Unit</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Not applicable</w:t>
            </w:r>
          </w:p>
        </w:tc>
      </w:tr>
    </w:tbl>
    <w:p w:rsidR="003E5431" w:rsidP="00A976FE">
      <w:pPr>
        <w:pStyle w:val="NoPaddingFontSize1"/>
      </w:pPr>
    </w:p>
    <w:p w:rsidR="003E5431" w:rsidP="00A976FE">
      <w:pPr>
        <w:pStyle w:val="NoPaddingFontSize1"/>
      </w:pPr>
    </w:p>
    <w:p w:rsidR="00000000" w:rsidRPr="00A976FE" w:rsidP="00A976FE">
      <w:pPr>
        <w:pStyle w:val="Heading1"/>
      </w:pPr>
      <w:bookmarkStart w:id="4" w:name="O_1106003"/>
      <w:bookmarkEnd w:id="4"/>
      <w:r w:rsidRPr="00A976FE">
        <w:t>Competency Field</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Explosive Ordnance</w:t>
            </w:r>
          </w:p>
        </w:tc>
      </w:tr>
    </w:tbl>
    <w:p w:rsidR="003E5431" w:rsidP="00A976FE">
      <w:pPr>
        <w:pStyle w:val="NoPaddingFontSize1"/>
      </w:pPr>
    </w:p>
    <w:p w:rsidR="003E5431" w:rsidP="00A976FE">
      <w:pPr>
        <w:pStyle w:val="NoPaddingFontSize1"/>
      </w:pPr>
    </w:p>
    <w:p w:rsidR="00000000" w:rsidRPr="00A976FE" w:rsidP="00A976FE">
      <w:pPr>
        <w:pStyle w:val="Heading1"/>
      </w:pPr>
      <w:bookmarkStart w:id="5" w:name="O_1106004"/>
      <w:bookmarkEnd w:id="5"/>
      <w:r w:rsidRPr="00A976FE">
        <w:t>Unit Sector</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Not applicable</w:t>
            </w:r>
          </w:p>
        </w:tc>
      </w:tr>
    </w:tbl>
    <w:p w:rsidR="003E5431" w:rsidP="00A976FE">
      <w:pPr>
        <w:pStyle w:val="NoPaddingFontSize1"/>
      </w:pPr>
    </w:p>
    <w:p w:rsidR="003E5431" w:rsidP="00A976FE">
      <w:pPr>
        <w:pStyle w:val="NoPaddingFontSize1"/>
      </w:pPr>
    </w:p>
    <w:p w:rsidR="00000000" w:rsidRPr="00A976FE" w:rsidP="00A976FE">
      <w:pPr>
        <w:pStyle w:val="Heading1"/>
      </w:pPr>
      <w:bookmarkStart w:id="6" w:name="O_1098346"/>
      <w:bookmarkEnd w:id="6"/>
      <w:r w:rsidRPr="00A976F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A976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PERFORMANCE CRITERIA</w:t>
            </w:r>
          </w:p>
        </w:tc>
      </w:tr>
      <w:tr w:rsidTr="00A976F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Performance criteria describe the performance needed to demonstrate achievement of the element.</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Plan and prepare for explosives development</w:t>
            </w: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 xml:space="preserve">Identify and clarify development requirements and specifications </w:t>
            </w:r>
            <w:r w:rsidRPr="00A976FE">
              <w:t>in consultation with the customer</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Identify, clarify and incorporate into the plan constraints on development</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Conduct research and analysis on explosives requirements and specifications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Prepare and review development plan</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Identify, calculate, and apply net explosive quantities and compatibility throughout the operation</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Monitor and maintain environmental conditions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Develop unique explosives</w:t>
            </w: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Test and validate explosive models, simulation and/or prototypes in accordance with established scientific principles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Produce a sample of unique explosives in accordance with specifications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Incorporate modifications or alterations into develo</w:t>
            </w:r>
            <w:r w:rsidRPr="00A976FE">
              <w:t>pment processes based on validation results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Conduct qualitative analysis</w:t>
            </w: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Perform established qualitative tests to observe explosive properties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Compare data with specifications, standards, charts, knowledge/experience, tables, and spectra in order to confirm explosive properties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Perform tests or analyses efficiently and within the required timeframe</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Conduct quantitative analysis</w:t>
            </w: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Perform quantitative tests to measure properties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Use available computer technology to control instruments or acquire/translate/convert data to optimise test accuracy</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Check samples and analyses when non-standard results are obtained</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Complete tests or analyses within the required timeframe</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rPr>
                <w:rStyle w:val="SpecialBold"/>
              </w:rPr>
              <w:t>Produce explosives</w:t>
            </w: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Manufacture unique explosives in accordance with specifications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Establish compliance and compatibility with requirements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Provide unique explosives to client in</w:t>
            </w:r>
            <w:r w:rsidRPr="00A976FE">
              <w:t xml:space="preserve"> accordance with requirements</w:t>
            </w:r>
          </w:p>
        </w:tc>
      </w:tr>
      <w:tr w:rsidTr="00A976F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A976F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Complete supporting documentation on the development of unique explosives</w:t>
            </w:r>
          </w:p>
        </w:tc>
      </w:tr>
    </w:tbl>
    <w:p w:rsidR="003E5431" w:rsidP="00A976FE">
      <w:pPr>
        <w:pStyle w:val="NoPaddingFontSize1"/>
      </w:pPr>
    </w:p>
    <w:p w:rsidR="003E5431" w:rsidP="00A976FE">
      <w:pPr>
        <w:pStyle w:val="NoPaddingFontSize1"/>
      </w:pPr>
    </w:p>
    <w:p w:rsidR="00000000" w:rsidRPr="00A976FE" w:rsidP="00A976FE">
      <w:pPr>
        <w:pStyle w:val="Heading1"/>
      </w:pPr>
      <w:bookmarkStart w:id="7" w:name="O_1098345"/>
      <w:bookmarkEnd w:id="7"/>
      <w:r w:rsidRPr="00A976FE">
        <w:t>Foundation Skills</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 xml:space="preserve">Foundation skills essential to performance are explicit in the performance criteria of this unit of competency. </w:t>
            </w:r>
          </w:p>
        </w:tc>
      </w:tr>
    </w:tbl>
    <w:p w:rsidR="003E5431" w:rsidP="00A976FE">
      <w:pPr>
        <w:pStyle w:val="NoPaddingFontSize1"/>
      </w:pPr>
    </w:p>
    <w:p w:rsidR="003E5431" w:rsidP="00A976FE">
      <w:pPr>
        <w:pStyle w:val="NoPaddingFontSize1"/>
      </w:pPr>
    </w:p>
    <w:p w:rsidR="00000000" w:rsidRPr="00A976FE" w:rsidP="00A976FE">
      <w:pPr>
        <w:pStyle w:val="Heading1"/>
      </w:pPr>
      <w:bookmarkStart w:id="8" w:name="O_1106005"/>
      <w:bookmarkEnd w:id="8"/>
      <w:r w:rsidRPr="00A976FE">
        <w:t>Range of Conditions</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Range is restricted to essential operating conditions and any other variables essential to the work e</w:t>
            </w:r>
            <w:r w:rsidRPr="00A976FE">
              <w:t>nvironment.</w:t>
            </w:r>
          </w:p>
          <w:p w:rsidR="00000000" w:rsidRPr="00A976FE" w:rsidP="00A976FE">
            <w:pPr>
              <w:pStyle w:val="BodyText"/>
            </w:pPr>
            <w:r w:rsidRPr="00A976FE">
              <w:t>Non-essential conditions may be found in the Companion Volume Implementation Guide.</w:t>
            </w:r>
          </w:p>
        </w:tc>
      </w:tr>
    </w:tbl>
    <w:p w:rsidR="003E5431" w:rsidP="00A976FE">
      <w:pPr>
        <w:pStyle w:val="NoPaddingFontSize1"/>
      </w:pPr>
    </w:p>
    <w:p w:rsidR="003E5431" w:rsidP="00A976FE">
      <w:pPr>
        <w:pStyle w:val="NoPaddingFontSize1"/>
      </w:pPr>
    </w:p>
    <w:p w:rsidR="00000000" w:rsidRPr="00A976FE" w:rsidP="00A976FE">
      <w:pPr>
        <w:pStyle w:val="Heading1"/>
      </w:pPr>
      <w:bookmarkStart w:id="9" w:name="O_1098343"/>
      <w:bookmarkEnd w:id="9"/>
      <w:r w:rsidRPr="00A976FE">
        <w:t>Unit Mapping Information</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This unit supersedes and is equivalent to DEFEO606D Develop unique explosives.</w:t>
            </w:r>
          </w:p>
        </w:tc>
      </w:tr>
    </w:tbl>
    <w:p w:rsidR="003E5431" w:rsidP="00A976FE">
      <w:pPr>
        <w:pStyle w:val="NoPaddingFontSize1"/>
      </w:pPr>
    </w:p>
    <w:p w:rsidR="003E5431" w:rsidP="00A976FE">
      <w:pPr>
        <w:pStyle w:val="NoPaddingFontSize1"/>
      </w:pPr>
    </w:p>
    <w:p w:rsidR="00000000" w:rsidRPr="00A976FE" w:rsidP="00A976FE">
      <w:pPr>
        <w:pStyle w:val="Heading1"/>
      </w:pPr>
      <w:bookmarkStart w:id="10" w:name="O_1098356"/>
      <w:bookmarkEnd w:id="10"/>
      <w:r w:rsidRPr="00A976FE">
        <w:t>Links</w:t>
      </w:r>
    </w:p>
    <w:p w:rsidR="00000000" w:rsidRPr="00A976FE" w:rsidP="003E5431">
      <w:pPr>
        <w:pStyle w:val="BodyText"/>
      </w:pPr>
      <w:r w:rsidRPr="00A976FE">
        <w:t>Compa</w:t>
      </w:r>
      <w:r w:rsidRPr="00A976FE">
        <w:t xml:space="preserve">nion Volume implementation guides are found in VETNet - </w:t>
      </w:r>
      <w:r>
        <w:fldChar w:fldCharType="begin"/>
      </w:r>
      <w:r>
        <w:instrText xml:space="preserve"> HYPERLINK "https://vetnet.gov.au/Pages/TrainingDocs.aspx?q=6bdbab1e-11ed-4bc9-9cba-9e1a55d4e4a9" </w:instrText>
      </w:r>
      <w:r>
        <w:fldChar w:fldCharType="separate"/>
      </w:r>
      <w:r w:rsidRPr="0029420E">
        <w:rPr>
          <w:rStyle w:val="Hyperlink"/>
        </w:rPr>
        <w:t>https://vetnet.gov.au/Pages/TrainingDocs.aspx?q=6bdbab1e-11ed-4bc9-9cba-9e1a55d4e4a9</w:t>
      </w:r>
      <w:r>
        <w:fldChar w:fldCharType="end"/>
      </w:r>
    </w:p>
    <w:p w:rsidR="00000000" w:rsidRPr="00A976FE" w:rsidP="003E5431">
      <w:pPr>
        <w:pStyle w:val="BodyText"/>
        <w:sectPr w:rsidSect="00A976FE">
          <w:headerReference w:type="default" r:id="rId10"/>
          <w:footerReference w:type="default" r:id="rId11"/>
          <w:pgSz w:w="11908" w:h="16833"/>
          <w:pgMar w:top="1702" w:right="1418" w:bottom="1702" w:left="1418" w:header="992" w:footer="992" w:gutter="0"/>
          <w:cols w:space="720"/>
          <w:noEndnote/>
          <w:docGrid w:linePitch="299"/>
        </w:sectPr>
      </w:pPr>
    </w:p>
    <w:p w:rsidR="00000000" w:rsidRPr="00A976FE" w:rsidP="00A976FE">
      <w:pPr>
        <w:pStyle w:val="SuperHeading"/>
      </w:pPr>
      <w:r w:rsidRPr="00A976FE">
        <w:t>Assessment Requirements for DEFEXO129 Develop unique explosives</w:t>
      </w:r>
    </w:p>
    <w:p w:rsidR="00000000" w:rsidRPr="00A976FE" w:rsidP="00A976FE">
      <w:pPr>
        <w:pStyle w:val="Heading1"/>
      </w:pPr>
      <w:bookmarkStart w:id="11" w:name="O_1098338"/>
      <w:bookmarkEnd w:id="11"/>
      <w:r w:rsidRPr="00A976FE">
        <w:t>Modification History</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Release 2. Modifications made to Foundation Skills and Assessment Conditions.</w:t>
            </w:r>
          </w:p>
        </w:tc>
      </w:tr>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Release 1. This unit was released in DEF Defence Training Package release 1.0 and meets the Standards for Training Packages.</w:t>
            </w:r>
          </w:p>
          <w:p w:rsidR="00000000" w:rsidRPr="00A976FE" w:rsidP="00A976FE">
            <w:pPr>
              <w:pStyle w:val="BodyText"/>
            </w:pPr>
            <w:r w:rsidRPr="00A976FE">
              <w:t>This unit sup</w:t>
            </w:r>
            <w:r w:rsidRPr="00A976FE">
              <w:t>ersedes and is equivalent to DEFEO606D Develop unique explosives.</w:t>
            </w:r>
          </w:p>
          <w:p w:rsidR="00000000" w:rsidRPr="00A976FE" w:rsidP="00A976FE">
            <w:pPr>
              <w:pStyle w:val="ListBullet"/>
            </w:pPr>
            <w:r w:rsidRPr="00A976FE">
              <w:t>Unit code updated</w:t>
            </w:r>
          </w:p>
          <w:p w:rsidR="00000000" w:rsidRPr="00A976FE" w:rsidP="00A976FE">
            <w:pPr>
              <w:pStyle w:val="ListBullet"/>
            </w:pPr>
            <w:r w:rsidRPr="00A976FE">
              <w:t>Content and formatting updated to comply with the new standards</w:t>
            </w:r>
          </w:p>
          <w:p w:rsidR="00000000" w:rsidRPr="00A976FE" w:rsidP="00A976FE">
            <w:pPr>
              <w:pStyle w:val="ListBullet"/>
            </w:pPr>
            <w:r w:rsidRPr="00A976FE">
              <w:t>All PC transitioned from passive to active voice</w:t>
            </w:r>
          </w:p>
          <w:p w:rsidR="00000000" w:rsidRPr="00A976FE" w:rsidP="00A976FE">
            <w:pPr>
              <w:pStyle w:val="ListBullet"/>
            </w:pPr>
            <w:r w:rsidRPr="00A976FE">
              <w:t>PC 1.4 removed</w:t>
            </w:r>
          </w:p>
          <w:p w:rsidR="00000000" w:rsidRPr="00A976FE" w:rsidP="00A976FE">
            <w:pPr>
              <w:pStyle w:val="ListBullet"/>
            </w:pPr>
            <w:r w:rsidRPr="00A976FE">
              <w:t>PC 1.6 and 1.7 merged</w:t>
            </w:r>
          </w:p>
        </w:tc>
      </w:tr>
    </w:tbl>
    <w:p w:rsidR="003E5431" w:rsidP="00A976FE">
      <w:pPr>
        <w:pStyle w:val="NoPaddingFontSize1"/>
      </w:pPr>
    </w:p>
    <w:p w:rsidR="003E5431" w:rsidP="00A976FE">
      <w:pPr>
        <w:pStyle w:val="NoPaddingFontSize1"/>
      </w:pPr>
    </w:p>
    <w:p w:rsidR="00000000" w:rsidRPr="00A976FE" w:rsidP="00A976FE">
      <w:pPr>
        <w:pStyle w:val="Heading1"/>
      </w:pPr>
      <w:bookmarkStart w:id="12" w:name="O_1098336"/>
      <w:bookmarkEnd w:id="12"/>
      <w:r w:rsidRPr="00A976FE">
        <w:t>Performance Evidence</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Evidence required to demonstrate competence in this unit must be relevant to and satisfy all of the requirements of the elements and performance criteria on at least one occasion and includes:</w:t>
            </w:r>
          </w:p>
        </w:tc>
      </w:tr>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ListBullet"/>
            </w:pPr>
            <w:r w:rsidRPr="00A976FE">
              <w:t>accessing, interpreting and applying technical information related to explosives</w:t>
            </w:r>
          </w:p>
          <w:p w:rsidR="00000000" w:rsidRPr="00A976FE" w:rsidP="00A976FE">
            <w:pPr>
              <w:pStyle w:val="ListBullet"/>
            </w:pPr>
            <w:r w:rsidRPr="00A976FE">
              <w:t xml:space="preserve">applying computer modelling </w:t>
            </w:r>
          </w:p>
          <w:p w:rsidR="00000000" w:rsidRPr="00A976FE" w:rsidP="00A976FE">
            <w:pPr>
              <w:pStyle w:val="ListBullet"/>
            </w:pPr>
            <w:r w:rsidRPr="00A976FE">
              <w:t>applying diagnostic techniques</w:t>
            </w:r>
          </w:p>
          <w:p w:rsidR="00000000" w:rsidRPr="00A976FE" w:rsidP="00A976FE">
            <w:pPr>
              <w:pStyle w:val="ListBullet"/>
            </w:pPr>
            <w:r w:rsidRPr="00A976FE">
              <w:t>commissioning unique explosives</w:t>
            </w:r>
          </w:p>
          <w:p w:rsidR="00000000" w:rsidRPr="00A976FE" w:rsidP="00A976FE">
            <w:pPr>
              <w:pStyle w:val="ListBullet"/>
            </w:pPr>
            <w:r w:rsidRPr="00A976FE">
              <w:t>maintaining documentation and records</w:t>
            </w:r>
          </w:p>
          <w:p w:rsidR="00000000" w:rsidRPr="00A976FE" w:rsidP="00A976FE">
            <w:pPr>
              <w:pStyle w:val="ListBullet"/>
            </w:pPr>
            <w:r w:rsidRPr="00A976FE">
              <w:t>planning development processes</w:t>
            </w:r>
          </w:p>
          <w:p w:rsidR="00000000" w:rsidRPr="00A976FE" w:rsidP="00A976FE">
            <w:pPr>
              <w:pStyle w:val="ListBullet"/>
            </w:pPr>
            <w:r w:rsidRPr="00A976FE">
              <w:t>conducting res</w:t>
            </w:r>
            <w:r w:rsidRPr="00A976FE">
              <w:t>earch and analysis</w:t>
            </w:r>
          </w:p>
          <w:p w:rsidR="00000000" w:rsidRPr="00A976FE" w:rsidP="00A976FE">
            <w:pPr>
              <w:pStyle w:val="ListBullet"/>
            </w:pPr>
            <w:r w:rsidRPr="00A976FE">
              <w:t>testing unique explosives and analysing results</w:t>
            </w:r>
          </w:p>
          <w:p w:rsidR="00000000" w:rsidRPr="00A976FE" w:rsidP="00A976FE">
            <w:pPr>
              <w:pStyle w:val="ListBullet"/>
            </w:pPr>
            <w:r w:rsidRPr="00A976FE">
              <w:t>identifying design requirements and constraints</w:t>
            </w:r>
          </w:p>
        </w:tc>
      </w:tr>
    </w:tbl>
    <w:p w:rsidR="003E5431" w:rsidP="00A976FE">
      <w:pPr>
        <w:pStyle w:val="NoPaddingFontSize1"/>
      </w:pPr>
    </w:p>
    <w:p w:rsidR="003E5431" w:rsidP="00A976FE">
      <w:pPr>
        <w:pStyle w:val="NoPaddingFontSize1"/>
      </w:pPr>
    </w:p>
    <w:p w:rsidR="00000000" w:rsidRPr="00A976FE" w:rsidP="00A976FE">
      <w:pPr>
        <w:pStyle w:val="Heading1"/>
      </w:pPr>
      <w:bookmarkStart w:id="13" w:name="O_1098335"/>
      <w:bookmarkEnd w:id="13"/>
      <w:r w:rsidRPr="00A976FE">
        <w:t>Knowledge Evidence</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976FE">
            <w:pPr>
              <w:pStyle w:val="BodyText"/>
              <w:rPr>
                <w:lang w:val="en-NZ"/>
              </w:rPr>
            </w:pPr>
            <w:r w:rsidRPr="00A976FE">
              <w:t>Evidence required to demonstrate competence in this unit must be relevant to and satisfy all of the requirements of the elements and performance criteria and includes:</w:t>
            </w:r>
          </w:p>
        </w:tc>
      </w:tr>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ListBullet"/>
            </w:pPr>
            <w:r w:rsidRPr="00A976FE">
              <w:t>Operational knowledge of:</w:t>
            </w:r>
          </w:p>
          <w:p w:rsidR="00000000" w:rsidRPr="00A976FE" w:rsidP="00A976FE">
            <w:pPr>
              <w:pStyle w:val="ListBullet2"/>
            </w:pPr>
            <w:r w:rsidRPr="00A976FE">
              <w:t>analysis processes and techniques</w:t>
            </w:r>
          </w:p>
          <w:p w:rsidR="00000000" w:rsidRPr="00A976FE" w:rsidP="00A976FE">
            <w:pPr>
              <w:pStyle w:val="ListBullet2"/>
            </w:pPr>
            <w:r w:rsidRPr="00A976FE">
              <w:t>characteristics and prope</w:t>
            </w:r>
            <w:r w:rsidRPr="00A976FE">
              <w:t>rties of chemicals used in explosives</w:t>
            </w:r>
          </w:p>
          <w:p w:rsidR="00000000" w:rsidRPr="00A976FE" w:rsidP="00A976FE">
            <w:pPr>
              <w:pStyle w:val="ListBullet2"/>
            </w:pPr>
            <w:r w:rsidRPr="00A976FE">
              <w:t>characteristics, technical capabilities and limitations of explosives</w:t>
            </w:r>
          </w:p>
          <w:p w:rsidR="00000000" w:rsidRPr="00A976FE" w:rsidP="00A976FE">
            <w:pPr>
              <w:pStyle w:val="ListBullet2"/>
            </w:pPr>
            <w:r w:rsidRPr="00A976FE">
              <w:t>computer modelling relevant to explosives</w:t>
            </w:r>
          </w:p>
          <w:p w:rsidR="00000000" w:rsidRPr="00A976FE" w:rsidP="00A976FE">
            <w:pPr>
              <w:pStyle w:val="ListBullet2"/>
            </w:pPr>
            <w:r w:rsidRPr="00A976FE">
              <w:t>reporting and documentation requirements</w:t>
            </w:r>
          </w:p>
          <w:p w:rsidR="00000000" w:rsidRPr="00A976FE" w:rsidP="00A976FE">
            <w:pPr>
              <w:pStyle w:val="ListBullet2"/>
            </w:pPr>
            <w:r w:rsidRPr="00A976FE">
              <w:t>testing protocols and techniques</w:t>
            </w:r>
          </w:p>
          <w:p w:rsidR="00000000" w:rsidRPr="00A976FE" w:rsidP="00A976FE">
            <w:pPr>
              <w:pStyle w:val="ListBullet2"/>
            </w:pPr>
            <w:r w:rsidRPr="00A976FE">
              <w:t>validation processes</w:t>
            </w:r>
          </w:p>
        </w:tc>
      </w:tr>
    </w:tbl>
    <w:p w:rsidR="003E5431" w:rsidP="00A976FE">
      <w:pPr>
        <w:pStyle w:val="NoPaddingFontSize1"/>
      </w:pPr>
    </w:p>
    <w:p w:rsidR="003E5431" w:rsidP="00A976FE">
      <w:pPr>
        <w:pStyle w:val="NoPaddingFontSize1"/>
      </w:pPr>
    </w:p>
    <w:p w:rsidR="00000000" w:rsidRPr="00A976FE" w:rsidP="00A976FE">
      <w:pPr>
        <w:pStyle w:val="Heading1"/>
      </w:pPr>
      <w:bookmarkStart w:id="14" w:name="O_1098334"/>
      <w:bookmarkEnd w:id="14"/>
      <w:r w:rsidRPr="00A976FE">
        <w:t>Assessment Conditions</w:t>
      </w:r>
    </w:p>
    <w:tbl>
      <w:tblPr>
        <w:tblW w:w="9497" w:type="dxa"/>
        <w:tblLayout w:type="fixed"/>
        <w:tblCellMar>
          <w:left w:w="62" w:type="dxa"/>
          <w:right w:w="62" w:type="dxa"/>
        </w:tblCellMar>
        <w:tblLook w:val="0000"/>
      </w:tblPr>
      <w:tblGrid>
        <w:gridCol w:w="9497"/>
      </w:tblGrid>
      <w:tr w:rsidTr="00A976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976FE" w:rsidP="00A976FE">
            <w:pPr>
              <w:pStyle w:val="BodyText"/>
            </w:pPr>
            <w:r w:rsidRPr="00A976FE">
              <w:t>Assessors must hold credentials specified within the Standards for Registered Training Organisations current at the time of assessment.</w:t>
            </w:r>
          </w:p>
          <w:p w:rsidR="00000000" w:rsidRPr="00A976FE" w:rsidP="00A976FE">
            <w:pPr>
              <w:pStyle w:val="BodyText"/>
            </w:pPr>
            <w:r w:rsidRPr="00A976FE">
              <w:t>Assessment must satisfy the Principles of Assessment and Rules of Evidence and a</w:t>
            </w:r>
            <w:r w:rsidRPr="00A976FE">
              <w:t>ll regulatory requirements included within the Standards for Registered Training Organisations current at the time of assessment.</w:t>
            </w:r>
          </w:p>
          <w:p w:rsidR="00000000" w:rsidRPr="00A976FE" w:rsidP="00A976FE">
            <w:pPr>
              <w:pStyle w:val="BodyText"/>
            </w:pPr>
            <w:r w:rsidRPr="00A976FE">
              <w:t>Assessment must occur in workplace operational situations. Where this is not appropriate, assessment must occur in simulated w</w:t>
            </w:r>
            <w:r w:rsidRPr="00A976FE">
              <w:t>orkplace operational situations that reflect workplace conditions.</w:t>
            </w:r>
          </w:p>
          <w:p w:rsidR="00000000" w:rsidRPr="00A976FE" w:rsidP="00A976FE">
            <w:pPr>
              <w:pStyle w:val="BodyText"/>
            </w:pPr>
            <w:r w:rsidRPr="00A976FE">
              <w:t>Assessment processes and techniques must be appropriate to the language, literacy and numeracy requirements of the work being performed and the needs of the candidate.</w:t>
            </w:r>
          </w:p>
          <w:p w:rsidR="00000000" w:rsidRPr="00A976FE" w:rsidP="00A976FE">
            <w:pPr>
              <w:pStyle w:val="BodyText"/>
            </w:pPr>
            <w:r w:rsidRPr="00A976FE">
              <w:t>Resources for assessment must include access to:</w:t>
            </w:r>
          </w:p>
          <w:p w:rsidR="00000000" w:rsidRPr="00A976FE" w:rsidP="00A976FE">
            <w:pPr>
              <w:pStyle w:val="ListBullet"/>
            </w:pPr>
            <w:r w:rsidRPr="00A976FE">
              <w:tab/>
              <w:t xml:space="preserve">a range of relevant exercises, case studies and/or simulations </w:t>
            </w:r>
          </w:p>
          <w:p w:rsidR="00000000" w:rsidRPr="00A976FE" w:rsidP="00A976FE">
            <w:pPr>
              <w:pStyle w:val="ListBullet"/>
            </w:pPr>
            <w:r w:rsidRPr="00A976FE">
              <w:tab/>
              <w:t xml:space="preserve">acceptable means of simulation assessment </w:t>
            </w:r>
          </w:p>
          <w:p w:rsidR="00000000" w:rsidRPr="00A976FE" w:rsidP="00A976FE">
            <w:pPr>
              <w:pStyle w:val="ListBullet"/>
            </w:pPr>
            <w:r w:rsidRPr="00A976FE">
              <w:tab/>
              <w:t>applicable documentation, including workplace procedures, regulations, codes of practice and ope</w:t>
            </w:r>
            <w:r w:rsidRPr="00A976FE">
              <w:t xml:space="preserve">ration manuals </w:t>
            </w:r>
          </w:p>
          <w:p w:rsidR="00000000" w:rsidRPr="00A976FE" w:rsidP="00A976FE">
            <w:pPr>
              <w:pStyle w:val="ListBullet"/>
            </w:pPr>
            <w:r w:rsidRPr="00A976FE">
              <w:tab/>
              <w:t>relevant materials, tools, equipment and PPE currently used in industry.</w:t>
            </w:r>
          </w:p>
        </w:tc>
      </w:tr>
    </w:tbl>
    <w:p w:rsidR="003E5431" w:rsidP="00A976FE">
      <w:pPr>
        <w:pStyle w:val="NoPaddingFontSize1"/>
      </w:pPr>
    </w:p>
    <w:p w:rsidR="003E5431" w:rsidP="00A976FE">
      <w:pPr>
        <w:pStyle w:val="NoPaddingFontSize1"/>
      </w:pPr>
    </w:p>
    <w:p w:rsidR="00000000" w:rsidRPr="00A976FE" w:rsidP="00A976FE">
      <w:pPr>
        <w:pStyle w:val="Heading1"/>
      </w:pPr>
      <w:bookmarkStart w:id="15" w:name="O_1098358"/>
      <w:bookmarkEnd w:id="15"/>
      <w:r w:rsidRPr="00A976FE">
        <w:t>Links</w:t>
      </w:r>
    </w:p>
    <w:p w:rsidR="00000000" w:rsidRPr="00A976FE" w:rsidP="003E5431">
      <w:pPr>
        <w:pStyle w:val="BodyText"/>
      </w:pPr>
      <w:r w:rsidRPr="00A976F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420E">
        <w:rPr>
          <w:rStyle w:val="Hyperlink"/>
        </w:rPr>
        <w:t>https://vetnet.gov.au/Pages/TrainingDocs.aspx?q=6bdbab1e-11ed-4bc9-9cba-9e1a55d4e4a9</w:t>
      </w:r>
      <w:r>
        <w:fldChar w:fldCharType="end"/>
      </w:r>
    </w:p>
    <w:p w:rsidR="00000000" w:rsidRPr="00A976FE" w:rsidP="00A976FE"/>
    <w:sectPr w:rsidSect="00A976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FE" w:rsidRPr="003E5431" w:rsidP="003E54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31" w:rsidP="00A976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5431" w:rsidP="00A976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E5431" w:rsidP="00A976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FE" w:rsidP="00A976FE">
    <w:pPr>
      <w:pStyle w:val="Footer"/>
      <w:framePr w:wrap="around"/>
    </w:pPr>
    <w:r>
      <w:fldChar w:fldCharType="begin"/>
    </w:r>
    <w:r>
      <w:instrText xml:space="preserve"> DOCPROPERTY  Subject  \* MERGEFORMAT </w:instrText>
    </w:r>
    <w:r>
      <w:fldChar w:fldCharType="separate"/>
    </w:r>
    <w:r w:rsidR="003E5431">
      <w:t>Approved</w:t>
    </w:r>
    <w:r w:rsidR="003E5431">
      <w:fldChar w:fldCharType="end"/>
    </w:r>
    <w:r>
      <w:tab/>
      <w:t xml:space="preserve">Page </w:t>
    </w:r>
    <w:r>
      <w:fldChar w:fldCharType="begin"/>
    </w:r>
    <w:r>
      <w:instrText xml:space="preserve"> PAGE  \* Arabic  \* MERGEFORMAT </w:instrText>
    </w:r>
    <w:r>
      <w:fldChar w:fldCharType="separate"/>
    </w:r>
    <w:r w:rsidR="003E54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5431">
      <w:rPr>
        <w:noProof/>
      </w:rPr>
      <w:t>5</w:t>
    </w:r>
    <w:r>
      <w:rPr>
        <w:noProof/>
      </w:rPr>
      <w:fldChar w:fldCharType="end"/>
    </w:r>
  </w:p>
  <w:p w:rsidR="00A976FE" w:rsidP="00A976FE">
    <w:pPr>
      <w:pStyle w:val="Footer"/>
      <w:framePr w:wrap="around"/>
    </w:pPr>
    <w:r>
      <w:t xml:space="preserve">© Commonwealth of Australia, </w:t>
    </w:r>
    <w:r>
      <w:fldChar w:fldCharType="begin"/>
    </w:r>
    <w:r>
      <w:instrText xml:space="preserve"> DATE  \@ "yyyy"  \* MERGEFORMAT </w:instrText>
    </w:r>
    <w:r>
      <w:fldChar w:fldCharType="separate"/>
    </w:r>
    <w:r w:rsidR="003E5431">
      <w:rPr>
        <w:noProof/>
      </w:rPr>
      <w:t>2025</w:t>
    </w:r>
    <w:r>
      <w:fldChar w:fldCharType="end"/>
    </w:r>
    <w:r>
      <w:tab/>
    </w:r>
    <w:r>
      <w:fldChar w:fldCharType="begin"/>
    </w:r>
    <w:r>
      <w:instrText xml:space="preserve"> DOCPROPERTY  Author  \* MERGEFORMAT </w:instrText>
    </w:r>
    <w:r>
      <w:fldChar w:fldCharType="separate"/>
    </w:r>
    <w:r w:rsidR="003E5431">
      <w:t>Public Skills Australia</w:t>
    </w:r>
    <w:r w:rsidR="003E5431">
      <w:fldChar w:fldCharType="end"/>
    </w:r>
  </w:p>
  <w:p w:rsidR="00A976FE" w:rsidP="00A976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76FE" w:rsidRPr="003E5431" w:rsidP="003E54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431" w:rsidRPr="002D2AF8" w:rsidP="00A976FE">
    <w:pPr>
      <w:pStyle w:val="Header"/>
      <w:framePr w:wrap="around"/>
    </w:pPr>
    <w:r>
      <w:fldChar w:fldCharType="begin"/>
    </w:r>
    <w:r>
      <w:instrText xml:space="preserve"> TITLE   \* MERGEFORMAT </w:instrText>
    </w:r>
    <w:r>
      <w:fldChar w:fldCharType="separate"/>
    </w:r>
    <w:r>
      <w:t>DEFEXO129 Develop unique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5431" w:rsidP="00A976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6FE" w:rsidRPr="002D2AF8" w:rsidP="00A976FE">
    <w:pPr>
      <w:pStyle w:val="Header"/>
      <w:framePr w:wrap="around"/>
    </w:pPr>
    <w:r>
      <w:fldChar w:fldCharType="begin"/>
    </w:r>
    <w:r>
      <w:instrText xml:space="preserve"> TITLE   \* MERGEFORMAT </w:instrText>
    </w:r>
    <w:r>
      <w:fldChar w:fldCharType="separate"/>
    </w:r>
    <w:r w:rsidR="003E5431">
      <w:t>DEFEXO129 Develop unique explosives</w:t>
    </w:r>
    <w:r w:rsidR="003E5431">
      <w:fldChar w:fldCharType="end"/>
    </w:r>
    <w:r>
      <w:tab/>
      <w:t xml:space="preserve">Date this document was generated: </w:t>
    </w:r>
    <w:r>
      <w:fldChar w:fldCharType="begin"/>
    </w:r>
    <w:r>
      <w:instrText xml:space="preserve"> CREATEDATE  \@ "d MMMM yyyy"  \* MERGEFORMAT </w:instrText>
    </w:r>
    <w:r>
      <w:fldChar w:fldCharType="separate"/>
    </w:r>
    <w:r w:rsidR="003E5431">
      <w:rPr>
        <w:noProof/>
      </w:rPr>
      <w:t>2 March 2025</w:t>
    </w:r>
    <w:r>
      <w:fldChar w:fldCharType="end"/>
    </w:r>
  </w:p>
  <w:p w:rsidR="00A976FE" w:rsidP="00A976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2CBA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681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9E15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6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76FE"/>
    <w:pPr>
      <w:spacing w:before="360" w:after="60"/>
      <w:outlineLvl w:val="0"/>
    </w:pPr>
    <w:rPr>
      <w:sz w:val="32"/>
    </w:rPr>
  </w:style>
  <w:style w:type="paragraph" w:styleId="Heading2">
    <w:name w:val="heading 2"/>
    <w:basedOn w:val="HeadingBase"/>
    <w:next w:val="BodyText"/>
    <w:link w:val="Heading2Char"/>
    <w:qFormat/>
    <w:rsid w:val="00A976FE"/>
    <w:pPr>
      <w:keepLines/>
      <w:spacing w:before="240" w:after="120"/>
      <w:outlineLvl w:val="1"/>
    </w:pPr>
    <w:rPr>
      <w:sz w:val="28"/>
      <w:szCs w:val="40"/>
    </w:rPr>
  </w:style>
  <w:style w:type="paragraph" w:styleId="Heading3">
    <w:name w:val="heading 3"/>
    <w:basedOn w:val="HeadingBase"/>
    <w:next w:val="BodyText"/>
    <w:link w:val="Heading3Char"/>
    <w:qFormat/>
    <w:rsid w:val="00A976FE"/>
    <w:pPr>
      <w:spacing w:before="180" w:after="120"/>
      <w:outlineLvl w:val="2"/>
    </w:pPr>
    <w:rPr>
      <w:spacing w:val="-10"/>
      <w:kern w:val="32"/>
    </w:rPr>
  </w:style>
  <w:style w:type="paragraph" w:styleId="Heading4">
    <w:name w:val="heading 4"/>
    <w:basedOn w:val="HeadingBase"/>
    <w:next w:val="BodyText"/>
    <w:link w:val="Heading4Char"/>
    <w:qFormat/>
    <w:rsid w:val="00A976FE"/>
    <w:pPr>
      <w:spacing w:before="160" w:after="120"/>
      <w:outlineLvl w:val="3"/>
    </w:pPr>
    <w:rPr>
      <w:sz w:val="22"/>
    </w:rPr>
  </w:style>
  <w:style w:type="paragraph" w:styleId="Heading5">
    <w:name w:val="heading 5"/>
    <w:basedOn w:val="HeadingBase"/>
    <w:next w:val="Normal"/>
    <w:link w:val="Heading5Char"/>
    <w:qFormat/>
    <w:rsid w:val="00A976FE"/>
    <w:pPr>
      <w:spacing w:before="80"/>
      <w:outlineLvl w:val="4"/>
    </w:pPr>
    <w:rPr>
      <w:color w:val="918585"/>
      <w:sz w:val="20"/>
    </w:rPr>
  </w:style>
  <w:style w:type="paragraph" w:styleId="Heading6">
    <w:name w:val="heading 6"/>
    <w:basedOn w:val="HeadingBase"/>
    <w:next w:val="Normal"/>
    <w:link w:val="Heading6Char"/>
    <w:qFormat/>
    <w:rsid w:val="00A976FE"/>
    <w:pPr>
      <w:spacing w:before="60"/>
      <w:outlineLvl w:val="5"/>
    </w:pPr>
    <w:rPr>
      <w:color w:val="918585"/>
      <w:sz w:val="20"/>
    </w:rPr>
  </w:style>
  <w:style w:type="paragraph" w:styleId="Heading7">
    <w:name w:val="heading 7"/>
    <w:basedOn w:val="Normal"/>
    <w:next w:val="Normal"/>
    <w:link w:val="Heading7Char"/>
    <w:qFormat/>
    <w:rsid w:val="00A976FE"/>
    <w:pPr>
      <w:ind w:left="720"/>
      <w:outlineLvl w:val="6"/>
    </w:pPr>
    <w:rPr>
      <w:i/>
    </w:rPr>
  </w:style>
  <w:style w:type="paragraph" w:styleId="Heading8">
    <w:name w:val="heading 8"/>
    <w:basedOn w:val="Normal"/>
    <w:next w:val="Normal"/>
    <w:link w:val="Heading8Char"/>
    <w:qFormat/>
    <w:rsid w:val="00A976FE"/>
    <w:pPr>
      <w:ind w:left="720"/>
      <w:outlineLvl w:val="7"/>
    </w:pPr>
    <w:rPr>
      <w:i/>
    </w:rPr>
  </w:style>
  <w:style w:type="paragraph" w:styleId="Heading9">
    <w:name w:val="heading 9"/>
    <w:basedOn w:val="Normal"/>
    <w:next w:val="Normal"/>
    <w:link w:val="Heading9Char"/>
    <w:qFormat/>
    <w:rsid w:val="00A976FE"/>
    <w:pPr>
      <w:ind w:left="720"/>
      <w:outlineLvl w:val="8"/>
    </w:pPr>
    <w:rPr>
      <w:i/>
    </w:rPr>
  </w:style>
  <w:style w:type="character" w:default="1" w:styleId="DefaultParagraphFont">
    <w:name w:val="Default Paragraph Font"/>
    <w:uiPriority w:val="1"/>
    <w:unhideWhenUsed/>
    <w:rsid w:val="00A976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76FE"/>
  </w:style>
  <w:style w:type="character" w:customStyle="1" w:styleId="Heading1Char">
    <w:name w:val="Heading 1 Char"/>
    <w:basedOn w:val="DefaultParagraphFont"/>
    <w:link w:val="Heading1"/>
    <w:rsid w:val="00A976FE"/>
    <w:rPr>
      <w:rFonts w:ascii="Times New Roman" w:eastAsia="Times New Roman" w:hAnsi="Times New Roman" w:cs="Times New Roman"/>
      <w:b/>
      <w:sz w:val="32"/>
      <w:szCs w:val="20"/>
      <w:lang w:eastAsia="en-US"/>
    </w:rPr>
  </w:style>
  <w:style w:type="paragraph" w:styleId="BodyText">
    <w:name w:val="Body Text"/>
    <w:basedOn w:val="Normal"/>
    <w:link w:val="BodyTextChar"/>
    <w:rsid w:val="00A976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76FE"/>
    <w:rPr>
      <w:rFonts w:ascii="Times New Roman" w:eastAsia="Times New Roman" w:hAnsi="Times New Roman" w:cs="Times New Roman"/>
      <w:sz w:val="24"/>
      <w:lang w:eastAsia="en-US"/>
    </w:rPr>
  </w:style>
  <w:style w:type="paragraph" w:styleId="ListBullet">
    <w:name w:val="List Bullet"/>
    <w:basedOn w:val="List"/>
    <w:rsid w:val="00A976FE"/>
    <w:pPr>
      <w:numPr>
        <w:numId w:val="12"/>
      </w:numPr>
      <w:tabs>
        <w:tab w:val="clear" w:pos="340"/>
      </w:tabs>
      <w:spacing w:before="40" w:after="40"/>
    </w:pPr>
  </w:style>
  <w:style w:type="character" w:customStyle="1" w:styleId="SpecialBold">
    <w:name w:val="Special Bold"/>
    <w:basedOn w:val="DefaultParagraphFont"/>
    <w:rsid w:val="00A976FE"/>
    <w:rPr>
      <w:b/>
      <w:spacing w:val="0"/>
    </w:rPr>
  </w:style>
  <w:style w:type="paragraph" w:styleId="ListBullet2">
    <w:name w:val="List Bullet 2"/>
    <w:basedOn w:val="List2"/>
    <w:rsid w:val="00A976FE"/>
    <w:pPr>
      <w:numPr>
        <w:numId w:val="13"/>
      </w:numPr>
      <w:tabs>
        <w:tab w:val="clear" w:pos="680"/>
      </w:tabs>
    </w:pPr>
  </w:style>
  <w:style w:type="paragraph" w:customStyle="1" w:styleId="SuperHeading">
    <w:name w:val="SuperHeading"/>
    <w:basedOn w:val="Normal"/>
    <w:rsid w:val="00A976FE"/>
    <w:pPr>
      <w:spacing w:before="240" w:after="120"/>
      <w:outlineLvl w:val="0"/>
    </w:pPr>
    <w:rPr>
      <w:rFonts w:ascii="Times New Roman" w:hAnsi="Times New Roman"/>
      <w:b/>
      <w:sz w:val="32"/>
    </w:rPr>
  </w:style>
  <w:style w:type="paragraph" w:customStyle="1" w:styleId="AllowPageBreak">
    <w:name w:val="AllowPageBreak"/>
    <w:rsid w:val="00A976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976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76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76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76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76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76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76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76FE"/>
    <w:rPr>
      <w:rFonts w:ascii="Courier New" w:eastAsia="Times New Roman" w:hAnsi="Courier New" w:cs="Times New Roman"/>
      <w:i/>
      <w:szCs w:val="20"/>
      <w:lang w:eastAsia="en-US"/>
    </w:rPr>
  </w:style>
  <w:style w:type="paragraph" w:customStyle="1" w:styleId="HeadingBase">
    <w:name w:val="Heading Base"/>
    <w:rsid w:val="00A976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76FE"/>
    <w:pPr>
      <w:tabs>
        <w:tab w:val="right" w:leader="dot" w:pos="9072"/>
      </w:tabs>
      <w:ind w:left="567"/>
    </w:pPr>
    <w:rPr>
      <w:szCs w:val="22"/>
    </w:rPr>
  </w:style>
  <w:style w:type="paragraph" w:customStyle="1" w:styleId="TOCBase">
    <w:name w:val="TOC Base"/>
    <w:rsid w:val="00A976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76FE"/>
    <w:pPr>
      <w:tabs>
        <w:tab w:val="right" w:leader="dot" w:pos="9072"/>
      </w:tabs>
      <w:spacing w:before="40" w:after="40"/>
      <w:ind w:left="284"/>
    </w:pPr>
    <w:rPr>
      <w:rFonts w:ascii="Times New Roman" w:hAnsi="Times New Roman"/>
    </w:rPr>
  </w:style>
  <w:style w:type="paragraph" w:styleId="TOC1">
    <w:name w:val="toc 1"/>
    <w:basedOn w:val="TOCBase"/>
    <w:next w:val="Normal"/>
    <w:rsid w:val="00A976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76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76FE"/>
    <w:rPr>
      <w:rFonts w:ascii="Times New Roman" w:eastAsia="Times New Roman" w:hAnsi="Times New Roman" w:cs="Times New Roman"/>
      <w:sz w:val="16"/>
      <w:lang w:eastAsia="en-US"/>
    </w:rPr>
  </w:style>
  <w:style w:type="paragraph" w:styleId="Title">
    <w:name w:val="Title"/>
    <w:basedOn w:val="HeadingBase"/>
    <w:link w:val="TitleChar"/>
    <w:qFormat/>
    <w:rsid w:val="00A976FE"/>
    <w:pPr>
      <w:spacing w:before="5040"/>
      <w:jc w:val="center"/>
    </w:pPr>
    <w:rPr>
      <w:sz w:val="48"/>
      <w:szCs w:val="72"/>
      <w:lang w:val="en-US"/>
    </w:rPr>
  </w:style>
  <w:style w:type="character" w:customStyle="1" w:styleId="TitleChar">
    <w:name w:val="Title Char"/>
    <w:basedOn w:val="DefaultParagraphFont"/>
    <w:link w:val="Title"/>
    <w:rsid w:val="00A976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76FE"/>
    <w:pPr>
      <w:tabs>
        <w:tab w:val="left" w:pos="3600"/>
        <w:tab w:val="left" w:pos="3958"/>
      </w:tabs>
    </w:pPr>
  </w:style>
  <w:style w:type="paragraph" w:styleId="List">
    <w:name w:val="List"/>
    <w:basedOn w:val="BodyText"/>
    <w:next w:val="BodyText"/>
    <w:rsid w:val="00A976FE"/>
    <w:pPr>
      <w:tabs>
        <w:tab w:val="left" w:pos="340"/>
      </w:tabs>
      <w:spacing w:before="60" w:after="60"/>
      <w:ind w:left="340" w:hanging="340"/>
    </w:pPr>
  </w:style>
  <w:style w:type="paragraph" w:customStyle="1" w:styleId="Note">
    <w:name w:val="Note"/>
    <w:basedOn w:val="BodyText"/>
    <w:rsid w:val="00A976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76FE"/>
    <w:pPr>
      <w:framePr w:wrap="auto" w:hAnchor="text" w:y="6049"/>
    </w:pPr>
    <w:rPr>
      <w:color w:val="000000"/>
      <w:sz w:val="40"/>
    </w:rPr>
  </w:style>
  <w:style w:type="paragraph" w:customStyle="1" w:styleId="TOCTitle">
    <w:name w:val="TOCTitle"/>
    <w:basedOn w:val="Heading1"/>
    <w:rsid w:val="00A976FE"/>
    <w:pPr>
      <w:spacing w:after="240"/>
      <w:jc w:val="center"/>
      <w:outlineLvl w:val="9"/>
    </w:pPr>
    <w:rPr>
      <w:caps/>
    </w:rPr>
  </w:style>
  <w:style w:type="paragraph" w:customStyle="1" w:styleId="Version">
    <w:name w:val="Version"/>
    <w:rsid w:val="00A976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76FE"/>
    <w:pPr>
      <w:keepNext w:val="0"/>
      <w:tabs>
        <w:tab w:val="right" w:pos="4176"/>
      </w:tabs>
      <w:ind w:left="198" w:hanging="198"/>
    </w:pPr>
    <w:rPr>
      <w:rFonts w:ascii="Garamond" w:hAnsi="Garamond"/>
    </w:rPr>
  </w:style>
  <w:style w:type="paragraph" w:styleId="IndexHeading">
    <w:name w:val="index heading"/>
    <w:basedOn w:val="Normal"/>
    <w:next w:val="Index1"/>
    <w:semiHidden/>
    <w:rsid w:val="00A976FE"/>
    <w:pPr>
      <w:spacing w:before="120" w:after="120"/>
    </w:pPr>
    <w:rPr>
      <w:rFonts w:ascii="Arial" w:hAnsi="Arial"/>
      <w:b/>
      <w:color w:val="918585"/>
      <w:sz w:val="24"/>
    </w:rPr>
  </w:style>
  <w:style w:type="paragraph" w:styleId="Header">
    <w:name w:val="header"/>
    <w:basedOn w:val="Normal"/>
    <w:link w:val="HeaderChar"/>
    <w:rsid w:val="00A976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76FE"/>
    <w:rPr>
      <w:rFonts w:ascii="Times New Roman" w:eastAsia="Times New Roman" w:hAnsi="Times New Roman" w:cs="Times New Roman"/>
      <w:sz w:val="16"/>
      <w:szCs w:val="20"/>
      <w:lang w:val="en-GB" w:eastAsia="en-US"/>
    </w:rPr>
  </w:style>
  <w:style w:type="paragraph" w:customStyle="1" w:styleId="Chapter">
    <w:name w:val="Chapter"/>
    <w:basedOn w:val="Normal"/>
    <w:rsid w:val="00A976FE"/>
    <w:pPr>
      <w:spacing w:before="240"/>
    </w:pPr>
    <w:rPr>
      <w:rFonts w:ascii="Times New Roman" w:hAnsi="Times New Roman"/>
      <w:smallCaps/>
      <w:spacing w:val="80"/>
      <w:sz w:val="28"/>
    </w:rPr>
  </w:style>
  <w:style w:type="paragraph" w:customStyle="1" w:styleId="InChapter">
    <w:name w:val="InChapter"/>
    <w:basedOn w:val="Heading3"/>
    <w:rsid w:val="00A976FE"/>
    <w:pPr>
      <w:spacing w:after="240"/>
      <w:outlineLvl w:val="9"/>
    </w:pPr>
    <w:rPr>
      <w:noProof/>
    </w:rPr>
  </w:style>
  <w:style w:type="paragraph" w:styleId="Index2">
    <w:name w:val="index 2"/>
    <w:basedOn w:val="Normal"/>
    <w:next w:val="Normal"/>
    <w:semiHidden/>
    <w:rsid w:val="00A976FE"/>
    <w:pPr>
      <w:tabs>
        <w:tab w:val="right" w:pos="4176"/>
      </w:tabs>
      <w:ind w:left="568" w:hanging="284"/>
    </w:pPr>
    <w:rPr>
      <w:rFonts w:ascii="Garamond" w:hAnsi="Garamond"/>
    </w:rPr>
  </w:style>
  <w:style w:type="paragraph" w:customStyle="1" w:styleId="Byline">
    <w:name w:val="Byline"/>
    <w:rsid w:val="00A976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76FE"/>
    <w:pPr>
      <w:tabs>
        <w:tab w:val="clear" w:pos="3600"/>
        <w:tab w:val="clear" w:pos="3958"/>
      </w:tabs>
      <w:jc w:val="right"/>
    </w:pPr>
  </w:style>
  <w:style w:type="character" w:styleId="Emphasis">
    <w:name w:val="Emphasis"/>
    <w:basedOn w:val="DefaultParagraphFont"/>
    <w:qFormat/>
    <w:rsid w:val="00A976FE"/>
    <w:rPr>
      <w:i/>
    </w:rPr>
  </w:style>
  <w:style w:type="paragraph" w:styleId="Caption">
    <w:name w:val="caption"/>
    <w:basedOn w:val="BodyText"/>
    <w:next w:val="Normal"/>
    <w:qFormat/>
    <w:rsid w:val="00A976FE"/>
    <w:pPr>
      <w:framePr w:w="2268" w:hSpace="181" w:vSpace="181" w:wrap="around" w:vAnchor="text" w:hAnchor="page" w:x="1135" w:y="285" w:anchorLock="1"/>
    </w:pPr>
    <w:rPr>
      <w:i/>
    </w:rPr>
  </w:style>
  <w:style w:type="paragraph" w:customStyle="1" w:styleId="MiniTOCTitle">
    <w:name w:val="MiniTOCTitle"/>
    <w:basedOn w:val="Heading4"/>
    <w:rsid w:val="00A976FE"/>
    <w:pPr>
      <w:spacing w:before="240"/>
      <w:outlineLvl w:val="9"/>
    </w:pPr>
    <w:rPr>
      <w:noProof/>
      <w:sz w:val="24"/>
    </w:rPr>
  </w:style>
  <w:style w:type="paragraph" w:customStyle="1" w:styleId="MiniTOCItem">
    <w:name w:val="MiniTOCItem"/>
    <w:basedOn w:val="ListBullet"/>
    <w:rsid w:val="00A976FE"/>
    <w:pPr>
      <w:numPr>
        <w:numId w:val="0"/>
      </w:numPr>
      <w:tabs>
        <w:tab w:val="right" w:leader="dot" w:pos="6521"/>
      </w:tabs>
      <w:spacing w:before="0" w:after="0"/>
    </w:pPr>
  </w:style>
  <w:style w:type="paragraph" w:customStyle="1" w:styleId="TOFTitle">
    <w:name w:val="TOFTitle"/>
    <w:basedOn w:val="TOCTitle"/>
    <w:rsid w:val="00A976FE"/>
  </w:style>
  <w:style w:type="paragraph" w:styleId="TableofFigures">
    <w:name w:val="table of figures"/>
    <w:basedOn w:val="Normal"/>
    <w:next w:val="Normal"/>
    <w:semiHidden/>
    <w:rsid w:val="00A976FE"/>
    <w:pPr>
      <w:tabs>
        <w:tab w:val="right" w:leader="dot" w:pos="9072"/>
      </w:tabs>
      <w:ind w:left="970" w:hanging="403"/>
    </w:pPr>
    <w:rPr>
      <w:rFonts w:ascii="Times New Roman" w:hAnsi="Times New Roman"/>
      <w:b/>
    </w:rPr>
  </w:style>
  <w:style w:type="paragraph" w:styleId="ListNumber">
    <w:name w:val="List Number"/>
    <w:basedOn w:val="List"/>
    <w:rsid w:val="00A976FE"/>
    <w:pPr>
      <w:numPr>
        <w:numId w:val="15"/>
      </w:numPr>
      <w:tabs>
        <w:tab w:val="clear" w:pos="340"/>
      </w:tabs>
    </w:pPr>
  </w:style>
  <w:style w:type="character" w:customStyle="1" w:styleId="WingdingSymbols">
    <w:name w:val="Wingding Symbols"/>
    <w:rsid w:val="00A976FE"/>
    <w:rPr>
      <w:rFonts w:ascii="Wingdings" w:hAnsi="Wingdings"/>
    </w:rPr>
  </w:style>
  <w:style w:type="paragraph" w:customStyle="1" w:styleId="TableHeading">
    <w:name w:val="Table Heading"/>
    <w:basedOn w:val="HeadingBase"/>
    <w:rsid w:val="00A976FE"/>
    <w:pPr>
      <w:keepLines/>
      <w:pBdr>
        <w:bottom w:val="single" w:sz="6" w:space="1" w:color="918585"/>
      </w:pBdr>
      <w:spacing w:before="240"/>
    </w:pPr>
  </w:style>
  <w:style w:type="character" w:customStyle="1" w:styleId="HotSpot">
    <w:name w:val="HotSpot"/>
    <w:rsid w:val="00A976FE"/>
    <w:rPr>
      <w:color w:val="0033CC"/>
      <w:u w:val="none"/>
    </w:rPr>
  </w:style>
  <w:style w:type="paragraph" w:customStyle="1" w:styleId="BodyTextRight">
    <w:name w:val="Body Text Right"/>
    <w:basedOn w:val="BodyText"/>
    <w:rsid w:val="00A976FE"/>
    <w:pPr>
      <w:spacing w:before="0" w:after="0"/>
      <w:jc w:val="right"/>
    </w:pPr>
  </w:style>
  <w:style w:type="paragraph" w:styleId="Index3">
    <w:name w:val="index 3"/>
    <w:basedOn w:val="ListNumber2"/>
    <w:next w:val="Normal"/>
    <w:semiHidden/>
    <w:rsid w:val="00A976FE"/>
    <w:pPr>
      <w:numPr>
        <w:numId w:val="0"/>
      </w:numPr>
      <w:tabs>
        <w:tab w:val="right" w:leader="dot" w:pos="4176"/>
      </w:tabs>
    </w:pPr>
  </w:style>
  <w:style w:type="paragraph" w:styleId="ListNumber2">
    <w:name w:val="List Number 2"/>
    <w:basedOn w:val="List2"/>
    <w:rsid w:val="00A976FE"/>
    <w:pPr>
      <w:numPr>
        <w:numId w:val="10"/>
      </w:numPr>
      <w:tabs>
        <w:tab w:val="clear" w:pos="1060"/>
      </w:tabs>
    </w:pPr>
  </w:style>
  <w:style w:type="paragraph" w:customStyle="1" w:styleId="MarginNote">
    <w:name w:val="Margin Note"/>
    <w:basedOn w:val="BodyText"/>
    <w:rsid w:val="00A976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76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76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76FE"/>
    <w:rPr>
      <w:sz w:val="32"/>
    </w:rPr>
  </w:style>
  <w:style w:type="paragraph" w:customStyle="1" w:styleId="HeadingProcedure">
    <w:name w:val="Heading Procedure"/>
    <w:basedOn w:val="HeadingBase"/>
    <w:next w:val="Normal"/>
    <w:rsid w:val="00A976FE"/>
    <w:pPr>
      <w:tabs>
        <w:tab w:val="left" w:pos="0"/>
      </w:tabs>
      <w:spacing w:before="120" w:after="60"/>
    </w:pPr>
    <w:rPr>
      <w:i/>
      <w:color w:val="918585"/>
      <w:sz w:val="22"/>
    </w:rPr>
  </w:style>
  <w:style w:type="paragraph" w:customStyle="1" w:styleId="TableBodyText">
    <w:name w:val="Table Body Text"/>
    <w:basedOn w:val="BodyText"/>
    <w:rsid w:val="00A976FE"/>
    <w:pPr>
      <w:spacing w:before="60" w:after="60"/>
    </w:pPr>
  </w:style>
  <w:style w:type="paragraph" w:styleId="ListContinue">
    <w:name w:val="List Continue"/>
    <w:basedOn w:val="List"/>
    <w:rsid w:val="00A976FE"/>
    <w:pPr>
      <w:ind w:firstLine="0"/>
    </w:pPr>
  </w:style>
  <w:style w:type="paragraph" w:customStyle="1" w:styleId="ListNote">
    <w:name w:val="List Note"/>
    <w:basedOn w:val="List"/>
    <w:rsid w:val="00A976FE"/>
    <w:pPr>
      <w:pBdr>
        <w:top w:val="single" w:sz="6" w:space="2" w:color="918585"/>
        <w:bottom w:val="single" w:sz="6" w:space="2" w:color="918585"/>
      </w:pBdr>
      <w:tabs>
        <w:tab w:val="left" w:pos="1021"/>
      </w:tabs>
      <w:ind w:firstLine="0"/>
    </w:pPr>
  </w:style>
  <w:style w:type="paragraph" w:customStyle="1" w:styleId="Warning">
    <w:name w:val="Warning"/>
    <w:basedOn w:val="BodyText"/>
    <w:rsid w:val="00A976FE"/>
    <w:pPr>
      <w:shd w:val="clear" w:color="auto" w:fill="D9D9D9"/>
      <w:tabs>
        <w:tab w:val="left" w:pos="992"/>
      </w:tabs>
      <w:ind w:left="119" w:right="119"/>
    </w:pPr>
    <w:rPr>
      <w:sz w:val="20"/>
    </w:rPr>
  </w:style>
  <w:style w:type="paragraph" w:customStyle="1" w:styleId="MarginIcons">
    <w:name w:val="Margin Icons"/>
    <w:basedOn w:val="BodyText"/>
    <w:rsid w:val="00A976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76FE"/>
    <w:rPr>
      <w:rFonts w:ascii="Courier New" w:hAnsi="Courier New"/>
    </w:rPr>
  </w:style>
  <w:style w:type="paragraph" w:customStyle="1" w:styleId="NoteBullet">
    <w:name w:val="Note Bullet"/>
    <w:basedOn w:val="Note"/>
    <w:rsid w:val="00A976FE"/>
    <w:pPr>
      <w:tabs>
        <w:tab w:val="clear" w:pos="680"/>
      </w:tabs>
      <w:spacing w:before="60" w:after="60"/>
    </w:pPr>
  </w:style>
  <w:style w:type="paragraph" w:customStyle="1" w:styleId="SubHeading2">
    <w:name w:val="SubHeading2"/>
    <w:basedOn w:val="HeadingBase"/>
    <w:rsid w:val="00A976FE"/>
    <w:pPr>
      <w:spacing w:before="240" w:after="60"/>
    </w:pPr>
    <w:rPr>
      <w:sz w:val="20"/>
    </w:rPr>
  </w:style>
  <w:style w:type="paragraph" w:customStyle="1" w:styleId="SubHeading1">
    <w:name w:val="SubHeading1"/>
    <w:basedOn w:val="HeadingBase"/>
    <w:rsid w:val="00A976FE"/>
    <w:pPr>
      <w:spacing w:before="240" w:after="60"/>
    </w:pPr>
    <w:rPr>
      <w:color w:val="918585"/>
      <w:sz w:val="22"/>
    </w:rPr>
  </w:style>
  <w:style w:type="paragraph" w:customStyle="1" w:styleId="SideHeading">
    <w:name w:val="Side Heading"/>
    <w:basedOn w:val="HeadingBase"/>
    <w:rsid w:val="00A976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76FE"/>
    <w:pPr>
      <w:tabs>
        <w:tab w:val="num" w:pos="360"/>
      </w:tabs>
    </w:pPr>
  </w:style>
  <w:style w:type="paragraph" w:styleId="PlainText">
    <w:name w:val="Plain Text"/>
    <w:basedOn w:val="Normal"/>
    <w:link w:val="PlainTextChar"/>
    <w:rsid w:val="00A976FE"/>
    <w:rPr>
      <w:sz w:val="20"/>
    </w:rPr>
  </w:style>
  <w:style w:type="character" w:customStyle="1" w:styleId="PlainTextChar">
    <w:name w:val="Plain Text Char"/>
    <w:basedOn w:val="DefaultParagraphFont"/>
    <w:link w:val="PlainText"/>
    <w:rsid w:val="00A976FE"/>
    <w:rPr>
      <w:rFonts w:ascii="Courier New" w:eastAsia="Times New Roman" w:hAnsi="Courier New" w:cs="Times New Roman"/>
      <w:sz w:val="20"/>
      <w:szCs w:val="20"/>
      <w:lang w:eastAsia="en-US"/>
    </w:rPr>
  </w:style>
  <w:style w:type="character" w:customStyle="1" w:styleId="MenuOption">
    <w:name w:val="Menu Option"/>
    <w:basedOn w:val="DefaultParagraphFont"/>
    <w:rsid w:val="00A976FE"/>
    <w:rPr>
      <w:b/>
      <w:smallCaps/>
    </w:rPr>
  </w:style>
  <w:style w:type="paragraph" w:customStyle="1" w:styleId="TableListNumber">
    <w:name w:val="Table List Number"/>
    <w:basedOn w:val="ListNumber"/>
    <w:rsid w:val="00A976FE"/>
    <w:pPr>
      <w:numPr>
        <w:numId w:val="0"/>
      </w:numPr>
    </w:pPr>
  </w:style>
  <w:style w:type="paragraph" w:styleId="TOC4">
    <w:name w:val="toc 4"/>
    <w:basedOn w:val="TOCBase"/>
    <w:next w:val="Normal"/>
    <w:semiHidden/>
    <w:rsid w:val="00A976FE"/>
    <w:pPr>
      <w:tabs>
        <w:tab w:val="right" w:leader="dot" w:pos="9071"/>
      </w:tabs>
      <w:ind w:left="1701"/>
    </w:pPr>
  </w:style>
  <w:style w:type="paragraph" w:customStyle="1" w:styleId="ListAlpha">
    <w:name w:val="List Alpha"/>
    <w:basedOn w:val="List"/>
    <w:rsid w:val="00A976FE"/>
    <w:pPr>
      <w:numPr>
        <w:numId w:val="9"/>
      </w:numPr>
    </w:pPr>
  </w:style>
  <w:style w:type="paragraph" w:customStyle="1" w:styleId="ListAlpha2">
    <w:name w:val="List Alpha 2"/>
    <w:basedOn w:val="List2"/>
    <w:rsid w:val="00A976FE"/>
    <w:pPr>
      <w:numPr>
        <w:numId w:val="8"/>
      </w:numPr>
    </w:pPr>
  </w:style>
  <w:style w:type="paragraph" w:styleId="List2">
    <w:name w:val="List 2"/>
    <w:basedOn w:val="BodyText"/>
    <w:rsid w:val="00A976FE"/>
    <w:pPr>
      <w:tabs>
        <w:tab w:val="left" w:pos="680"/>
      </w:tabs>
      <w:spacing w:before="60" w:after="60"/>
      <w:ind w:left="680" w:hanging="340"/>
    </w:pPr>
  </w:style>
  <w:style w:type="paragraph" w:styleId="List3">
    <w:name w:val="List 3"/>
    <w:basedOn w:val="BodyText"/>
    <w:rsid w:val="00A976FE"/>
    <w:pPr>
      <w:tabs>
        <w:tab w:val="left" w:pos="1021"/>
      </w:tabs>
      <w:spacing w:before="60" w:after="60"/>
      <w:ind w:left="1020" w:hanging="340"/>
    </w:pPr>
  </w:style>
  <w:style w:type="paragraph" w:styleId="List4">
    <w:name w:val="List 4"/>
    <w:basedOn w:val="BodyText"/>
    <w:rsid w:val="00A976FE"/>
    <w:pPr>
      <w:tabs>
        <w:tab w:val="left" w:pos="1361"/>
      </w:tabs>
      <w:spacing w:before="60" w:after="60"/>
      <w:ind w:left="1361" w:hanging="340"/>
    </w:pPr>
  </w:style>
  <w:style w:type="paragraph" w:styleId="List5">
    <w:name w:val="List 5"/>
    <w:basedOn w:val="BodyText"/>
    <w:rsid w:val="00A976FE"/>
    <w:pPr>
      <w:tabs>
        <w:tab w:val="left" w:pos="1701"/>
      </w:tabs>
      <w:spacing w:before="60" w:after="60"/>
      <w:ind w:left="1701" w:hanging="340"/>
    </w:pPr>
  </w:style>
  <w:style w:type="paragraph" w:styleId="ListBullet3">
    <w:name w:val="List Bullet 3"/>
    <w:basedOn w:val="List3"/>
    <w:rsid w:val="00A976FE"/>
    <w:pPr>
      <w:numPr>
        <w:numId w:val="14"/>
      </w:numPr>
      <w:tabs>
        <w:tab w:val="clear" w:pos="1021"/>
      </w:tabs>
      <w:ind w:left="1037" w:hanging="357"/>
    </w:pPr>
  </w:style>
  <w:style w:type="paragraph" w:styleId="ListBullet4">
    <w:name w:val="List Bullet 4"/>
    <w:basedOn w:val="List4"/>
    <w:rsid w:val="00A976FE"/>
    <w:pPr>
      <w:numPr>
        <w:numId w:val="3"/>
      </w:numPr>
      <w:tabs>
        <w:tab w:val="clear" w:pos="1361"/>
      </w:tabs>
    </w:pPr>
  </w:style>
  <w:style w:type="paragraph" w:styleId="ListBullet5">
    <w:name w:val="List Bullet 5"/>
    <w:basedOn w:val="List5"/>
    <w:rsid w:val="00A976FE"/>
    <w:pPr>
      <w:numPr>
        <w:numId w:val="4"/>
      </w:numPr>
    </w:pPr>
  </w:style>
  <w:style w:type="paragraph" w:styleId="ListContinue2">
    <w:name w:val="List Continue 2"/>
    <w:basedOn w:val="List2"/>
    <w:rsid w:val="00A976FE"/>
    <w:pPr>
      <w:ind w:firstLine="0"/>
    </w:pPr>
  </w:style>
  <w:style w:type="paragraph" w:styleId="ListContinue3">
    <w:name w:val="List Continue 3"/>
    <w:basedOn w:val="List3"/>
    <w:rsid w:val="00A976FE"/>
    <w:pPr>
      <w:ind w:left="1021" w:firstLine="0"/>
    </w:pPr>
  </w:style>
  <w:style w:type="paragraph" w:styleId="ListContinue4">
    <w:name w:val="List Continue 4"/>
    <w:basedOn w:val="List4"/>
    <w:rsid w:val="00A976FE"/>
    <w:pPr>
      <w:ind w:firstLine="0"/>
    </w:pPr>
  </w:style>
  <w:style w:type="paragraph" w:styleId="ListContinue5">
    <w:name w:val="List Continue 5"/>
    <w:basedOn w:val="List5"/>
    <w:rsid w:val="00A976FE"/>
    <w:pPr>
      <w:ind w:firstLine="0"/>
    </w:pPr>
  </w:style>
  <w:style w:type="paragraph" w:styleId="ListNumber3">
    <w:name w:val="List Number 3"/>
    <w:basedOn w:val="List3"/>
    <w:rsid w:val="00A976FE"/>
    <w:pPr>
      <w:numPr>
        <w:numId w:val="5"/>
      </w:numPr>
    </w:pPr>
  </w:style>
  <w:style w:type="paragraph" w:styleId="ListNumber4">
    <w:name w:val="List Number 4"/>
    <w:basedOn w:val="List4"/>
    <w:rsid w:val="00A976FE"/>
    <w:pPr>
      <w:numPr>
        <w:numId w:val="6"/>
      </w:numPr>
    </w:pPr>
  </w:style>
  <w:style w:type="paragraph" w:styleId="ListNumber5">
    <w:name w:val="List Number 5"/>
    <w:basedOn w:val="List5"/>
    <w:rsid w:val="00A976FE"/>
    <w:pPr>
      <w:numPr>
        <w:numId w:val="7"/>
      </w:numPr>
    </w:pPr>
  </w:style>
  <w:style w:type="paragraph" w:styleId="BlockText">
    <w:name w:val="Block Text"/>
    <w:basedOn w:val="Normal"/>
    <w:rsid w:val="00A976FE"/>
    <w:pPr>
      <w:spacing w:after="120"/>
      <w:ind w:left="1440" w:right="1440"/>
    </w:pPr>
  </w:style>
  <w:style w:type="character" w:customStyle="1" w:styleId="Subscript">
    <w:name w:val="Subscript"/>
    <w:basedOn w:val="DefaultParagraphFont"/>
    <w:rsid w:val="00A976FE"/>
    <w:rPr>
      <w:sz w:val="16"/>
      <w:vertAlign w:val="subscript"/>
    </w:rPr>
  </w:style>
  <w:style w:type="character" w:customStyle="1" w:styleId="Superscript">
    <w:name w:val="Superscript"/>
    <w:basedOn w:val="DefaultParagraphFont"/>
    <w:rsid w:val="00A976FE"/>
    <w:rPr>
      <w:sz w:val="16"/>
      <w:vertAlign w:val="superscript"/>
    </w:rPr>
  </w:style>
  <w:style w:type="character" w:customStyle="1" w:styleId="Symbols">
    <w:name w:val="Symbols"/>
    <w:basedOn w:val="DefaultParagraphFont"/>
    <w:rsid w:val="00A976FE"/>
    <w:rPr>
      <w:rFonts w:ascii="Symbol" w:hAnsi="Symbol"/>
    </w:rPr>
  </w:style>
  <w:style w:type="character" w:customStyle="1" w:styleId="MenuOptions">
    <w:name w:val="Menu Options"/>
    <w:basedOn w:val="DefaultParagraphFont"/>
    <w:rsid w:val="00A976FE"/>
    <w:rPr>
      <w:rFonts w:ascii="Arial Narrow" w:hAnsi="Arial Narrow"/>
      <w:smallCaps/>
    </w:rPr>
  </w:style>
  <w:style w:type="character" w:customStyle="1" w:styleId="Buttons">
    <w:name w:val="Buttons"/>
    <w:basedOn w:val="DefaultParagraphFont"/>
    <w:rsid w:val="00A976FE"/>
    <w:rPr>
      <w:b/>
    </w:rPr>
  </w:style>
  <w:style w:type="character" w:customStyle="1" w:styleId="Underlined">
    <w:name w:val="Underlined"/>
    <w:basedOn w:val="DefaultParagraphFont"/>
    <w:rsid w:val="00A976FE"/>
    <w:rPr>
      <w:u w:val="single"/>
    </w:rPr>
  </w:style>
  <w:style w:type="paragraph" w:customStyle="1" w:styleId="TableBodyTextRight">
    <w:name w:val="Table Body Text Right"/>
    <w:basedOn w:val="TableBodyText"/>
    <w:rsid w:val="00A976FE"/>
    <w:pPr>
      <w:widowControl w:val="0"/>
      <w:autoSpaceDE w:val="0"/>
      <w:autoSpaceDN w:val="0"/>
      <w:adjustRightInd w:val="0"/>
      <w:jc w:val="right"/>
    </w:pPr>
    <w:rPr>
      <w:rFonts w:cs="Arial"/>
      <w:szCs w:val="18"/>
    </w:rPr>
  </w:style>
  <w:style w:type="paragraph" w:customStyle="1" w:styleId="CopyrightText">
    <w:name w:val="Copyright Text"/>
    <w:basedOn w:val="BodyText"/>
    <w:rsid w:val="00A976FE"/>
    <w:rPr>
      <w:sz w:val="18"/>
    </w:rPr>
  </w:style>
  <w:style w:type="paragraph" w:customStyle="1" w:styleId="BodySmallRight">
    <w:name w:val="Body Small Right"/>
    <w:basedOn w:val="BodyTextRight"/>
    <w:rsid w:val="00A976FE"/>
    <w:rPr>
      <w:sz w:val="18"/>
      <w:szCs w:val="18"/>
    </w:rPr>
  </w:style>
  <w:style w:type="paragraph" w:customStyle="1" w:styleId="MarginEdition">
    <w:name w:val="Margin Edition"/>
    <w:basedOn w:val="MarginNote"/>
    <w:rsid w:val="00A976FE"/>
    <w:pPr>
      <w:spacing w:before="0" w:after="0"/>
    </w:pPr>
    <w:rPr>
      <w:rFonts w:ascii="Times New Roman" w:hAnsi="Times New Roman"/>
      <w:color w:val="999999"/>
    </w:rPr>
  </w:style>
  <w:style w:type="paragraph" w:customStyle="1" w:styleId="Spacer">
    <w:name w:val="Spacer"/>
    <w:basedOn w:val="Normal"/>
    <w:rsid w:val="00A976FE"/>
    <w:rPr>
      <w:sz w:val="2"/>
      <w:szCs w:val="2"/>
    </w:rPr>
  </w:style>
  <w:style w:type="character" w:customStyle="1" w:styleId="Small">
    <w:name w:val="Small"/>
    <w:basedOn w:val="DefaultParagraphFont"/>
    <w:rsid w:val="00A976FE"/>
    <w:rPr>
      <w:sz w:val="16"/>
    </w:rPr>
  </w:style>
  <w:style w:type="paragraph" w:customStyle="1" w:styleId="WideTable">
    <w:name w:val="Wide Table"/>
    <w:basedOn w:val="Normal"/>
    <w:rsid w:val="00A976FE"/>
    <w:pPr>
      <w:ind w:left="-1418"/>
    </w:pPr>
    <w:rPr>
      <w:sz w:val="2"/>
      <w:szCs w:val="2"/>
    </w:rPr>
  </w:style>
  <w:style w:type="character" w:styleId="PageNumber">
    <w:name w:val="page number"/>
    <w:basedOn w:val="DefaultParagraphFont"/>
    <w:rsid w:val="00A976FE"/>
  </w:style>
  <w:style w:type="paragraph" w:styleId="Quote">
    <w:name w:val="Quote"/>
    <w:basedOn w:val="Heading1"/>
    <w:link w:val="QuoteChar"/>
    <w:qFormat/>
    <w:rsid w:val="00A976FE"/>
    <w:rPr>
      <w:b w:val="0"/>
      <w:sz w:val="72"/>
      <w:szCs w:val="72"/>
      <w:lang w:val="en-NZ"/>
    </w:rPr>
  </w:style>
  <w:style w:type="character" w:customStyle="1" w:styleId="QuoteChar">
    <w:name w:val="Quote Char"/>
    <w:basedOn w:val="DefaultParagraphFont"/>
    <w:link w:val="Quote"/>
    <w:rsid w:val="00A976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76FE"/>
    <w:pPr>
      <w:pageBreakBefore/>
    </w:pPr>
  </w:style>
  <w:style w:type="paragraph" w:customStyle="1" w:styleId="Border">
    <w:name w:val="Border"/>
    <w:basedOn w:val="Normal"/>
    <w:qFormat/>
    <w:rsid w:val="00A976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76FE"/>
    <w:rPr>
      <w:b/>
      <w:bCs/>
      <w:i/>
      <w:iCs/>
      <w:color w:val="auto"/>
    </w:rPr>
  </w:style>
  <w:style w:type="paragraph" w:styleId="IntenseQuote">
    <w:name w:val="Intense Quote"/>
    <w:basedOn w:val="Normal"/>
    <w:next w:val="Normal"/>
    <w:link w:val="IntenseQuoteChar"/>
    <w:uiPriority w:val="30"/>
    <w:qFormat/>
    <w:rsid w:val="00A976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76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76FE"/>
    <w:rPr>
      <w:smallCaps/>
      <w:color w:val="auto"/>
      <w:u w:val="single"/>
    </w:rPr>
  </w:style>
  <w:style w:type="character" w:styleId="IntenseReference">
    <w:name w:val="Intense Reference"/>
    <w:basedOn w:val="DefaultParagraphFont"/>
    <w:uiPriority w:val="32"/>
    <w:qFormat/>
    <w:rsid w:val="00A976FE"/>
    <w:rPr>
      <w:b/>
      <w:bCs/>
      <w:smallCaps/>
      <w:color w:val="auto"/>
      <w:spacing w:val="5"/>
      <w:u w:val="single"/>
    </w:rPr>
  </w:style>
  <w:style w:type="paragraph" w:customStyle="1" w:styleId="2ColumnHeading">
    <w:name w:val="2Column Heading"/>
    <w:basedOn w:val="BodyText"/>
    <w:qFormat/>
    <w:rsid w:val="00A976FE"/>
    <w:pPr>
      <w:spacing w:after="60"/>
      <w:ind w:left="-2268"/>
    </w:pPr>
    <w:rPr>
      <w:b/>
    </w:rPr>
  </w:style>
  <w:style w:type="paragraph" w:customStyle="1" w:styleId="Heading1TOC">
    <w:name w:val="Heading1 TOC"/>
    <w:basedOn w:val="Normal"/>
    <w:qFormat/>
    <w:rsid w:val="00A976FE"/>
    <w:pPr>
      <w:spacing w:before="240" w:after="120"/>
    </w:pPr>
    <w:rPr>
      <w:rFonts w:ascii="Times New Roman" w:hAnsi="Times New Roman"/>
      <w:b/>
      <w:sz w:val="32"/>
    </w:rPr>
  </w:style>
  <w:style w:type="paragraph" w:customStyle="1" w:styleId="Heading2TOC">
    <w:name w:val="Heading2 TOC"/>
    <w:basedOn w:val="Normal"/>
    <w:qFormat/>
    <w:rsid w:val="00A976FE"/>
    <w:pPr>
      <w:spacing w:before="240" w:after="60"/>
    </w:pPr>
    <w:rPr>
      <w:rFonts w:ascii="Times New Roman" w:hAnsi="Times New Roman"/>
      <w:b/>
      <w:sz w:val="28"/>
    </w:rPr>
  </w:style>
  <w:style w:type="character" w:customStyle="1" w:styleId="Underline">
    <w:name w:val="Underline"/>
    <w:basedOn w:val="DefaultParagraphFont"/>
    <w:qFormat/>
    <w:rsid w:val="00A976FE"/>
    <w:rPr>
      <w:u w:val="single"/>
    </w:rPr>
  </w:style>
  <w:style w:type="character" w:customStyle="1" w:styleId="BoldandItalics">
    <w:name w:val="Bold and Italics"/>
    <w:qFormat/>
    <w:rsid w:val="00A976FE"/>
    <w:rPr>
      <w:b/>
      <w:i/>
      <w:u w:val="none"/>
    </w:rPr>
  </w:style>
  <w:style w:type="paragraph" w:styleId="BalloonText">
    <w:name w:val="Balloon Text"/>
    <w:basedOn w:val="Normal"/>
    <w:link w:val="BalloonTextChar"/>
    <w:rsid w:val="00A976FE"/>
    <w:rPr>
      <w:rFonts w:ascii="Tahoma" w:hAnsi="Tahoma" w:cs="Tahoma"/>
      <w:sz w:val="16"/>
      <w:szCs w:val="16"/>
    </w:rPr>
  </w:style>
  <w:style w:type="character" w:customStyle="1" w:styleId="BalloonTextChar">
    <w:name w:val="Balloon Text Char"/>
    <w:basedOn w:val="DefaultParagraphFont"/>
    <w:link w:val="BalloonText"/>
    <w:rsid w:val="00A976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76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76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76FE"/>
    <w:rPr>
      <w:b/>
      <w:color w:val="660033"/>
      <w:spacing w:val="0"/>
    </w:rPr>
  </w:style>
  <w:style w:type="paragraph" w:customStyle="1" w:styleId="Nameditemlist">
    <w:name w:val="Named item list"/>
    <w:basedOn w:val="BodyText"/>
    <w:qFormat/>
    <w:rsid w:val="00A976FE"/>
    <w:pPr>
      <w:tabs>
        <w:tab w:val="left" w:pos="2835"/>
      </w:tabs>
      <w:ind w:left="2835" w:hanging="2835"/>
    </w:pPr>
  </w:style>
  <w:style w:type="paragraph" w:customStyle="1" w:styleId="BodyTextnopadding">
    <w:name w:val="Body Text no padding"/>
    <w:basedOn w:val="BodyText"/>
    <w:qFormat/>
    <w:rsid w:val="00A976FE"/>
    <w:pPr>
      <w:spacing w:before="0" w:after="0"/>
    </w:pPr>
  </w:style>
  <w:style w:type="paragraph" w:customStyle="1" w:styleId="BodyTextBold">
    <w:name w:val="Body Text Bold"/>
    <w:basedOn w:val="BodyText"/>
    <w:qFormat/>
    <w:rsid w:val="00A976FE"/>
    <w:rPr>
      <w:b/>
    </w:rPr>
  </w:style>
  <w:style w:type="character" w:styleId="Hyperlink">
    <w:name w:val="Hyperlink"/>
    <w:basedOn w:val="DefaultParagraphFont"/>
    <w:uiPriority w:val="99"/>
    <w:unhideWhenUsed/>
    <w:rsid w:val="003E54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6489</Characters>
  <Application>Microsoft Office Word</Application>
  <DocSecurity>0</DocSecurity>
  <Lines>259</Lines>
  <Paragraphs>155</Paragraphs>
  <ScaleCrop>false</ScaleCrop>
  <Company>Author-it Software Corporation Ltd.</Company>
  <LinksUpToDate>false</LinksUpToDate>
  <CharactersWithSpaces>7321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DEFEXO129 Develop unique explosives</dc:title>
  <dc:subject>Approved</dc:subject>
  <dc:creator>Public Skills Australia</dc:creator>
  <cp:keywords>Release: 2</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