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12E" w:rsidP="007C4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DEFEXO122 Plan explosive trials</w:t>
      </w:r>
      <w:r>
        <w:fldChar w:fldCharType="end"/>
      </w:r>
    </w:p>
    <w:p w:rsidR="007C412E" w:rsidP="007C412E">
      <w:pPr>
        <w:pStyle w:val="Version"/>
        <w:sectPr w:rsidSect="00870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095E" w:rsidP="0087095E">
      <w:pPr>
        <w:pStyle w:val="SuperHeading"/>
      </w:pPr>
      <w:r w:rsidRPr="0087095E">
        <w:t>DEFEXO122 Plan explosive trials</w:t>
      </w:r>
    </w:p>
    <w:p w:rsidR="00000000" w:rsidRPr="0087095E" w:rsidP="0087095E">
      <w:pPr>
        <w:pStyle w:val="Heading1"/>
      </w:pPr>
      <w:bookmarkStart w:id="1" w:name="O_1098224"/>
      <w:bookmarkEnd w:id="1"/>
      <w:r w:rsidRPr="008709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Release 2. Modifications made to Foundation Skills and Assessment Conditions.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Release 1. This unit was released in DEF Defence Training Package release 1.0 and meets the Standards for Training Packages.</w:t>
            </w:r>
          </w:p>
          <w:p w:rsidR="00000000" w:rsidRPr="0087095E" w:rsidP="0087095E">
            <w:pPr>
              <w:pStyle w:val="BodyText"/>
            </w:pPr>
            <w:r w:rsidRPr="0087095E">
              <w:t>This unit supersedes and is equ</w:t>
            </w:r>
            <w:r w:rsidRPr="0087095E">
              <w:t>ivalent to DEFEO602C Plan explosive ordnance trials.</w:t>
            </w:r>
          </w:p>
          <w:p w:rsidR="00000000" w:rsidRPr="0087095E" w:rsidP="0087095E">
            <w:pPr>
              <w:pStyle w:val="ListBullet"/>
            </w:pPr>
            <w:r w:rsidRPr="0087095E">
              <w:t>Unit code updated</w:t>
            </w:r>
          </w:p>
          <w:p w:rsidR="00000000" w:rsidRPr="0087095E" w:rsidP="0087095E">
            <w:pPr>
              <w:pStyle w:val="ListBullet"/>
            </w:pPr>
            <w:r w:rsidRPr="0087095E">
              <w:t>Content and formatting updated to comply with the new standards</w:t>
            </w:r>
          </w:p>
          <w:p w:rsidR="00000000" w:rsidRPr="0087095E" w:rsidP="0087095E">
            <w:pPr>
              <w:pStyle w:val="ListBullet"/>
            </w:pPr>
            <w:r w:rsidRPr="0087095E">
              <w:t>All PC transitioned from passive to active voice</w:t>
            </w:r>
          </w:p>
          <w:p w:rsidR="00000000" w:rsidRPr="0087095E" w:rsidP="0087095E">
            <w:pPr>
              <w:pStyle w:val="ListBullet"/>
            </w:pPr>
            <w:r w:rsidRPr="0087095E">
              <w:t>Unit title changed to better reflect unit outcomes</w:t>
            </w:r>
          </w:p>
          <w:p w:rsidR="00000000" w:rsidRPr="0087095E" w:rsidP="0087095E">
            <w:pPr>
              <w:pStyle w:val="ListBullet"/>
            </w:pPr>
            <w:r w:rsidRPr="0087095E">
              <w:t>PC 2.4 removed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2" w:name="O_1098223"/>
      <w:bookmarkEnd w:id="2"/>
      <w:r w:rsidRPr="008709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This unit describes the skills required to plan trials in the explosive research environment. Explosive trials are normally conducted to select new weapons systems or explosives. Trials are a common component of explosive rese</w:t>
            </w:r>
            <w:r w:rsidRPr="0087095E">
              <w:t>arch and involve a number of personnel both in their planning and implementation.</w:t>
            </w:r>
          </w:p>
          <w:p w:rsidR="00000000" w:rsidRPr="0087095E" w:rsidP="0087095E">
            <w:pPr>
              <w:pStyle w:val="BodyText"/>
            </w:pPr>
            <w:r w:rsidRPr="0087095E">
              <w:t>This unit applies to personnel who are required to prepare, plan and monitor/amend trials in the explosive research environment.</w:t>
            </w:r>
          </w:p>
          <w:p w:rsidR="00000000" w:rsidRPr="0087095E" w:rsidP="0087095E">
            <w:pPr>
              <w:pStyle w:val="BodyText"/>
            </w:pPr>
            <w:r w:rsidRPr="0087095E">
              <w:t>The skills and knowledge described in this un</w:t>
            </w:r>
            <w:r w:rsidRPr="0087095E">
              <w:t>it must be applied within the legislative, regulatory and policy environment in which they are carried out. Organisational policies and procedures must be consulted and adhered to.</w:t>
            </w:r>
          </w:p>
          <w:p w:rsidR="00000000" w:rsidRPr="0087095E" w:rsidP="0087095E">
            <w:pPr>
              <w:pStyle w:val="BodyText"/>
            </w:pPr>
            <w:r w:rsidRPr="0087095E">
              <w:t>Those undertaking this unit would work independently using discretion and j</w:t>
            </w:r>
            <w:r w:rsidRPr="0087095E">
              <w:t>udgement and taking responsibility for the quality of their outputs. They would perform complex tasks in a range of contexts.</w:t>
            </w:r>
          </w:p>
          <w:p w:rsidR="00000000" w:rsidRPr="0087095E" w:rsidP="0087095E">
            <w:pPr>
              <w:pStyle w:val="BodyText"/>
            </w:pPr>
            <w:r w:rsidRPr="0087095E">
              <w:t>No licensing, legislative or certification requirements apply to unit at the time of publication.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3" w:name="O_1105366"/>
      <w:bookmarkEnd w:id="3"/>
      <w:r w:rsidRPr="0087095E">
        <w:t>Pre-requis</w:t>
      </w:r>
      <w:r w:rsidRPr="0087095E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Not applicable.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4" w:name="O_1098222"/>
      <w:bookmarkEnd w:id="4"/>
      <w:r w:rsidRPr="008709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Explosive Ordnance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5" w:name="O_1105367"/>
      <w:bookmarkEnd w:id="5"/>
      <w:r w:rsidRPr="008709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Not applicable.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6" w:name="O_1098221"/>
      <w:bookmarkEnd w:id="6"/>
      <w:r w:rsidRPr="0087095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PERFORMANCE CRITERIA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Performance criteria describe the performance needed to demonstrate achievement of the element.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>Develop approach to trials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Identify and analyse trial requirements and confirm details by follow up consulta</w:t>
            </w:r>
            <w:r w:rsidRPr="0087095E">
              <w:t>tion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Identify, analyse and select trial methodologies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Identify, analyse and select trial evaluation procedures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Identify, analyse and select task requirements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>Plan for trials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Obtain or confirm information on resource requirements and availability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Plan information support systems for the trial in accordance with the identified requirements, including achievable reporting and recording processes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Negotiate and resolve coordination issues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Produce trial plan including appropriate resource requirements and documentation and forward to relevant parties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>Monitor trials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Monitor trial plan and amend based on changing circumstances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Liaise with those conducting the trial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rPr>
                <w:rStyle w:val="SpecialBold"/>
              </w:rPr>
              <w:t>Analyse and report on trial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Collect and report data generated by the trial in accordance with the agreed methodology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Provide options and recommendations resulting from the trial in a clear and comprehensive format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Produce and maintain post-trial reports, statistical reports and other records in accordance with requirements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7" w:name="O_1098220"/>
      <w:bookmarkEnd w:id="7"/>
      <w:r w:rsidRPr="008709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F</w:t>
            </w:r>
            <w:r w:rsidRPr="0087095E">
              <w:t>oundation skills essential to performance are explicit in the performance criteria of this unit of competency.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8" w:name="O_1105368"/>
      <w:bookmarkEnd w:id="8"/>
      <w:r w:rsidRPr="008709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Range is restricted to essential operating conditions and any other variables essential to the work environment.</w:t>
            </w:r>
          </w:p>
          <w:p w:rsidR="00000000" w:rsidRPr="0087095E" w:rsidP="0087095E">
            <w:pPr>
              <w:pStyle w:val="BodyText"/>
            </w:pPr>
            <w:r w:rsidRPr="0087095E">
              <w:t>Non-essential conditions may be found in the Companion Volume Implementation Guide.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9" w:name="O_1098219"/>
      <w:bookmarkEnd w:id="9"/>
      <w:r w:rsidRPr="008709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This unit su</w:t>
            </w:r>
            <w:r w:rsidRPr="0087095E">
              <w:t>persedes and is equivalent to DEFEO602C Plan explosive ordnance trials.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10" w:name="O_1098225"/>
      <w:bookmarkEnd w:id="10"/>
      <w:r w:rsidRPr="0087095E">
        <w:t>Links</w:t>
      </w:r>
    </w:p>
    <w:p w:rsidR="00000000" w:rsidRPr="0087095E" w:rsidP="007C412E">
      <w:pPr>
        <w:pStyle w:val="BodyText"/>
      </w:pPr>
      <w:r w:rsidRPr="008709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006A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7095E" w:rsidP="007C412E">
      <w:pPr>
        <w:pStyle w:val="BodyText"/>
        <w:sectPr w:rsidSect="008709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095E" w:rsidP="0087095E">
      <w:pPr>
        <w:pStyle w:val="SuperHeading"/>
      </w:pPr>
      <w:r w:rsidRPr="0087095E">
        <w:t>Assessment Requirements for DEFEXO122 Plan explosive trials</w:t>
      </w:r>
    </w:p>
    <w:p w:rsidR="00000000" w:rsidRPr="0087095E" w:rsidP="0087095E">
      <w:pPr>
        <w:pStyle w:val="Heading1"/>
      </w:pPr>
      <w:bookmarkStart w:id="11" w:name="O_1098217"/>
      <w:bookmarkEnd w:id="11"/>
      <w:r w:rsidRPr="008709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Release 2. Modifications made to Foundation Skills and Assessment Conditions.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Release 1. This unit was released in DEF Defence Training Package release 1.0 and meets the Standards for Training Packages.</w:t>
            </w:r>
          </w:p>
          <w:p w:rsidR="00000000" w:rsidRPr="0087095E" w:rsidP="0087095E">
            <w:pPr>
              <w:pStyle w:val="BodyText"/>
            </w:pPr>
            <w:r w:rsidRPr="0087095E">
              <w:t>This unit supersedes and is equivalent to DEFEO602C Plan explosive ordnance trials.</w:t>
            </w:r>
          </w:p>
          <w:p w:rsidR="00000000" w:rsidRPr="0087095E" w:rsidP="0087095E">
            <w:pPr>
              <w:pStyle w:val="ListBullet"/>
            </w:pPr>
            <w:r w:rsidRPr="0087095E">
              <w:t>Unit code updated</w:t>
            </w:r>
          </w:p>
          <w:p w:rsidR="00000000" w:rsidRPr="0087095E" w:rsidP="0087095E">
            <w:pPr>
              <w:pStyle w:val="ListBullet"/>
            </w:pPr>
            <w:r w:rsidRPr="0087095E">
              <w:t>Content and formatting updat</w:t>
            </w:r>
            <w:r w:rsidRPr="0087095E">
              <w:t>ed to comply with the new standards</w:t>
            </w:r>
          </w:p>
          <w:p w:rsidR="00000000" w:rsidRPr="0087095E" w:rsidP="0087095E">
            <w:pPr>
              <w:pStyle w:val="ListBullet"/>
            </w:pPr>
            <w:r w:rsidRPr="0087095E">
              <w:t>All PC transitioned from passive to active voice</w:t>
            </w:r>
          </w:p>
          <w:p w:rsidR="00000000" w:rsidRPr="0087095E" w:rsidP="0087095E">
            <w:pPr>
              <w:pStyle w:val="ListBullet"/>
            </w:pPr>
            <w:r w:rsidRPr="0087095E">
              <w:t>Unit title changed to better reflect unit outcomes</w:t>
            </w:r>
          </w:p>
          <w:p w:rsidR="00000000" w:rsidRPr="0087095E" w:rsidP="0087095E">
            <w:pPr>
              <w:pStyle w:val="ListBullet"/>
            </w:pPr>
            <w:r w:rsidRPr="0087095E">
              <w:t>PC 2.4 removed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12" w:name="O_1098216"/>
      <w:bookmarkEnd w:id="12"/>
      <w:r w:rsidRPr="008709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Evidence r</w:t>
            </w:r>
            <w:r w:rsidRPr="0087095E">
              <w:t>equired to demonstrate competence in this unit must be relevant to and satisfy all of the requirements of the elements and performance criteria on at least one occasion and includes: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ListBullet"/>
            </w:pPr>
            <w:r w:rsidRPr="0087095E">
              <w:t>allocating resources</w:t>
            </w:r>
          </w:p>
          <w:p w:rsidR="00000000" w:rsidRPr="0087095E" w:rsidP="0087095E">
            <w:pPr>
              <w:pStyle w:val="ListBullet"/>
            </w:pPr>
            <w:r w:rsidRPr="0087095E">
              <w:t>analysing trial outcomes</w:t>
            </w:r>
          </w:p>
          <w:p w:rsidR="00000000" w:rsidRPr="0087095E" w:rsidP="0087095E">
            <w:pPr>
              <w:pStyle w:val="ListBullet"/>
            </w:pPr>
            <w:r w:rsidRPr="0087095E">
              <w:t>assessing risks</w:t>
            </w:r>
          </w:p>
          <w:p w:rsidR="00000000" w:rsidRPr="0087095E" w:rsidP="0087095E">
            <w:pPr>
              <w:pStyle w:val="ListBullet"/>
            </w:pPr>
            <w:r w:rsidRPr="0087095E">
              <w:t>communica</w:t>
            </w:r>
            <w:r w:rsidRPr="0087095E">
              <w:t>ting clearly and effectively</w:t>
            </w:r>
          </w:p>
          <w:p w:rsidR="00000000" w:rsidRPr="0087095E" w:rsidP="0087095E">
            <w:pPr>
              <w:pStyle w:val="ListBullet"/>
            </w:pPr>
            <w:r w:rsidRPr="0087095E">
              <w:t>coordinating activities</w:t>
            </w:r>
          </w:p>
          <w:p w:rsidR="00000000" w:rsidRPr="0087095E" w:rsidP="0087095E">
            <w:pPr>
              <w:pStyle w:val="ListBullet"/>
            </w:pPr>
            <w:r w:rsidRPr="0087095E">
              <w:t>evaluating information</w:t>
            </w:r>
          </w:p>
          <w:p w:rsidR="00000000" w:rsidRPr="0087095E" w:rsidP="0087095E">
            <w:pPr>
              <w:pStyle w:val="ListBullet"/>
            </w:pPr>
            <w:r w:rsidRPr="0087095E">
              <w:t>identifying and selecting trial methodologies and procedures and trial evaluation procedures where these are not provided</w:t>
            </w:r>
          </w:p>
          <w:p w:rsidR="00000000" w:rsidRPr="0087095E" w:rsidP="0087095E">
            <w:pPr>
              <w:pStyle w:val="ListBullet"/>
            </w:pPr>
            <w:r w:rsidRPr="0087095E">
              <w:t>planning the trial</w:t>
            </w:r>
          </w:p>
          <w:p w:rsidR="00000000" w:rsidRPr="0087095E" w:rsidP="0087095E">
            <w:pPr>
              <w:pStyle w:val="ListBullet"/>
            </w:pPr>
            <w:r w:rsidRPr="0087095E">
              <w:t>writing reports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13" w:name="O_1098215"/>
      <w:bookmarkEnd w:id="13"/>
      <w:r w:rsidRPr="008709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95E">
            <w:pPr>
              <w:pStyle w:val="BodyText"/>
              <w:rPr>
                <w:lang w:val="en-NZ"/>
              </w:rPr>
            </w:pPr>
            <w:r w:rsidRPr="0087095E">
              <w:t>Evidence required to demonstrate competence in this unit must be relevant to and satisfy all of the requirements of the elements and performance criteria and includes:</w:t>
            </w:r>
          </w:p>
        </w:tc>
      </w:tr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ListBullet"/>
            </w:pPr>
            <w:r w:rsidRPr="0087095E">
              <w:t>operational knowledge of:</w:t>
            </w:r>
          </w:p>
          <w:p w:rsidR="00000000" w:rsidRPr="0087095E" w:rsidP="0087095E">
            <w:pPr>
              <w:pStyle w:val="ListBullet2"/>
            </w:pPr>
            <w:r w:rsidRPr="0087095E">
              <w:t>disposal procedures</w:t>
            </w:r>
          </w:p>
          <w:p w:rsidR="00000000" w:rsidRPr="0087095E" w:rsidP="0087095E">
            <w:pPr>
              <w:pStyle w:val="ListBullet2"/>
            </w:pPr>
            <w:r w:rsidRPr="0087095E">
              <w:t>evaluation processes</w:t>
            </w:r>
          </w:p>
          <w:p w:rsidR="00000000" w:rsidRPr="0087095E" w:rsidP="0087095E">
            <w:pPr>
              <w:pStyle w:val="ListBullet2"/>
            </w:pPr>
            <w:r w:rsidRPr="0087095E">
              <w:t>explosives use in trials</w:t>
            </w:r>
          </w:p>
          <w:p w:rsidR="00000000" w:rsidRPr="0087095E" w:rsidP="0087095E">
            <w:pPr>
              <w:pStyle w:val="ListBullet2"/>
            </w:pPr>
            <w:r w:rsidRPr="0087095E">
              <w:t>initiation systems</w:t>
            </w:r>
          </w:p>
          <w:p w:rsidR="00000000" w:rsidRPr="0087095E" w:rsidP="0087095E">
            <w:pPr>
              <w:pStyle w:val="ListBullet2"/>
            </w:pPr>
            <w:r w:rsidRPr="0087095E">
              <w:t>planning processes</w:t>
            </w:r>
          </w:p>
          <w:p w:rsidR="00000000" w:rsidRPr="0087095E" w:rsidP="0087095E">
            <w:pPr>
              <w:pStyle w:val="ListBullet2"/>
            </w:pPr>
            <w:r w:rsidRPr="0087095E">
              <w:t>reporting procedures</w:t>
            </w:r>
          </w:p>
          <w:p w:rsidR="00000000" w:rsidRPr="0087095E" w:rsidP="0087095E">
            <w:pPr>
              <w:pStyle w:val="ListBullet2"/>
            </w:pPr>
            <w:r w:rsidRPr="0087095E">
              <w:t>resource allocation procedures</w:t>
            </w:r>
          </w:p>
          <w:p w:rsidR="00000000" w:rsidRPr="0087095E" w:rsidP="0087095E">
            <w:pPr>
              <w:pStyle w:val="ListBullet2"/>
            </w:pPr>
            <w:r w:rsidRPr="0087095E">
              <w:t>risk assessment</w:t>
            </w:r>
          </w:p>
          <w:p w:rsidR="00000000" w:rsidRPr="0087095E" w:rsidP="0087095E">
            <w:pPr>
              <w:pStyle w:val="ListBullet2"/>
            </w:pPr>
            <w:r w:rsidRPr="0087095E">
              <w:t>trialling methodologies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14" w:name="O_1098214"/>
      <w:bookmarkEnd w:id="14"/>
      <w:r w:rsidRPr="008709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0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95E" w:rsidP="0087095E">
            <w:pPr>
              <w:pStyle w:val="BodyText"/>
            </w:pPr>
            <w:r w:rsidRPr="0087095E">
              <w:t>Assessors must hold credentials specified within the Sta</w:t>
            </w:r>
            <w:r w:rsidRPr="0087095E">
              <w:t>ndards for Registered Training Organisations current at the time of assessment.</w:t>
            </w:r>
          </w:p>
          <w:p w:rsidR="00000000" w:rsidRPr="0087095E" w:rsidP="0087095E">
            <w:pPr>
              <w:pStyle w:val="BodyText"/>
            </w:pPr>
            <w:r w:rsidRPr="0087095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7095E" w:rsidP="0087095E">
            <w:pPr>
              <w:pStyle w:val="BodyText"/>
            </w:pPr>
            <w:r w:rsidRPr="0087095E">
              <w:t>Assessment must occur in workplace operational</w:t>
            </w:r>
            <w:r w:rsidRPr="0087095E">
              <w:t xml:space="preserve"> situations. Where this is not appropriate, assessment must occur in simulated workplace operational situations that reflect workplace conditions.</w:t>
            </w:r>
          </w:p>
          <w:p w:rsidR="00000000" w:rsidRPr="0087095E" w:rsidP="0087095E">
            <w:pPr>
              <w:pStyle w:val="BodyText"/>
            </w:pPr>
            <w:r w:rsidRPr="0087095E">
              <w:t>Assessment processes and techniques must be appropriate to the language, literacy and numeracy requirements o</w:t>
            </w:r>
            <w:r w:rsidRPr="0087095E">
              <w:t>f the work being performed and the needs of the candidate.</w:t>
            </w:r>
          </w:p>
          <w:p w:rsidR="00000000" w:rsidRPr="0087095E" w:rsidP="0087095E">
            <w:pPr>
              <w:pStyle w:val="BodyText"/>
            </w:pPr>
            <w:r w:rsidRPr="0087095E">
              <w:t>Resources for assessment must include access to:</w:t>
            </w:r>
          </w:p>
          <w:p w:rsidR="00000000" w:rsidRPr="0087095E" w:rsidP="0087095E">
            <w:pPr>
              <w:pStyle w:val="ListBullet"/>
            </w:pPr>
            <w:r w:rsidRPr="0087095E">
              <w:tab/>
              <w:t xml:space="preserve">a range of relevant exercises, case studies and/or simulations </w:t>
            </w:r>
          </w:p>
          <w:p w:rsidR="00000000" w:rsidRPr="0087095E" w:rsidP="0087095E">
            <w:pPr>
              <w:pStyle w:val="ListBullet"/>
            </w:pPr>
            <w:r w:rsidRPr="0087095E">
              <w:tab/>
              <w:t xml:space="preserve">acceptable means of simulation assessment </w:t>
            </w:r>
          </w:p>
          <w:p w:rsidR="00000000" w:rsidRPr="0087095E" w:rsidP="0087095E">
            <w:pPr>
              <w:pStyle w:val="ListBullet"/>
            </w:pPr>
            <w:r w:rsidRPr="0087095E">
              <w:tab/>
              <w:t>applicable documentation, including w</w:t>
            </w:r>
            <w:r w:rsidRPr="0087095E">
              <w:t xml:space="preserve">orkplace procedures, regulations, codes of practice and operation manuals </w:t>
            </w:r>
          </w:p>
          <w:p w:rsidR="00000000" w:rsidRPr="0087095E" w:rsidP="0087095E">
            <w:pPr>
              <w:pStyle w:val="ListBullet"/>
            </w:pPr>
            <w:r w:rsidRPr="0087095E">
              <w:tab/>
              <w:t>relevant materials, tools, equipment and PPE currently used in industry.</w:t>
            </w:r>
          </w:p>
        </w:tc>
      </w:tr>
    </w:tbl>
    <w:p w:rsidR="007C412E" w:rsidP="0087095E">
      <w:pPr>
        <w:pStyle w:val="NoPaddingFontSize1"/>
      </w:pPr>
    </w:p>
    <w:p w:rsidR="007C412E" w:rsidP="0087095E">
      <w:pPr>
        <w:pStyle w:val="NoPaddingFontSize1"/>
      </w:pPr>
    </w:p>
    <w:p w:rsidR="00000000" w:rsidRPr="0087095E" w:rsidP="0087095E">
      <w:pPr>
        <w:pStyle w:val="Heading1"/>
      </w:pPr>
      <w:bookmarkStart w:id="15" w:name="O_1098226"/>
      <w:bookmarkEnd w:id="15"/>
      <w:r w:rsidRPr="0087095E">
        <w:t>Links</w:t>
      </w:r>
    </w:p>
    <w:p w:rsidR="00000000" w:rsidRPr="0087095E" w:rsidP="007C412E">
      <w:pPr>
        <w:pStyle w:val="BodyText"/>
      </w:pPr>
      <w:r w:rsidRPr="008709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006A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7095E" w:rsidP="0087095E"/>
    <w:sectPr w:rsidSect="008709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5E" w:rsidRPr="007C412E" w:rsidP="007C4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2E" w:rsidP="00870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412E" w:rsidP="00870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C412E" w:rsidP="008709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5E" w:rsidP="00870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412E">
      <w:t>Approved</w:t>
    </w:r>
    <w:r w:rsidR="007C41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41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412E">
      <w:rPr>
        <w:noProof/>
      </w:rPr>
      <w:t>4</w:t>
    </w:r>
    <w:r>
      <w:rPr>
        <w:noProof/>
      </w:rPr>
      <w:fldChar w:fldCharType="end"/>
    </w:r>
  </w:p>
  <w:p w:rsidR="0087095E" w:rsidP="00870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41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412E">
      <w:t>Public Skills Australia</w:t>
    </w:r>
    <w:r w:rsidR="007C412E">
      <w:fldChar w:fldCharType="end"/>
    </w:r>
  </w:p>
  <w:p w:rsidR="0087095E" w:rsidP="00870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95E" w:rsidRPr="007C412E" w:rsidP="007C41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2E" w:rsidRPr="002D2AF8" w:rsidP="00870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DEFEXO122 Plan explosive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412E" w:rsidP="008709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5E" w:rsidRPr="002D2AF8" w:rsidP="00870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412E">
      <w:t>DEFEXO122 Plan explosive trials</w:t>
    </w:r>
    <w:r w:rsidR="007C41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412E">
      <w:rPr>
        <w:noProof/>
      </w:rPr>
      <w:t>2 March 2025</w:t>
    </w:r>
    <w:r>
      <w:fldChar w:fldCharType="end"/>
    </w:r>
  </w:p>
  <w:p w:rsidR="0087095E" w:rsidP="00870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240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227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345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95E"/>
  </w:style>
  <w:style w:type="character" w:customStyle="1" w:styleId="Heading1Char">
    <w:name w:val="Heading 1 Char"/>
    <w:basedOn w:val="DefaultParagraphFont"/>
    <w:link w:val="Heading1"/>
    <w:rsid w:val="00870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9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9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95E"/>
    <w:rPr>
      <w:b/>
      <w:spacing w:val="0"/>
    </w:rPr>
  </w:style>
  <w:style w:type="paragraph" w:styleId="ListBullet2">
    <w:name w:val="List Bullet 2"/>
    <w:basedOn w:val="List2"/>
    <w:rsid w:val="008709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0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0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9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95E"/>
    <w:rPr>
      <w:i/>
    </w:rPr>
  </w:style>
  <w:style w:type="paragraph" w:styleId="Caption">
    <w:name w:val="caption"/>
    <w:basedOn w:val="BodyText"/>
    <w:next w:val="Normal"/>
    <w:qFormat/>
    <w:rsid w:val="00870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95E"/>
  </w:style>
  <w:style w:type="paragraph" w:styleId="TableofFigures">
    <w:name w:val="table of figures"/>
    <w:basedOn w:val="Normal"/>
    <w:next w:val="Normal"/>
    <w:semiHidden/>
    <w:rsid w:val="00870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9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95E"/>
    <w:rPr>
      <w:rFonts w:ascii="Wingdings" w:hAnsi="Wingdings"/>
    </w:rPr>
  </w:style>
  <w:style w:type="paragraph" w:customStyle="1" w:styleId="TableHeading">
    <w:name w:val="Table Heading"/>
    <w:basedOn w:val="HeadingBase"/>
    <w:rsid w:val="00870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95E"/>
    <w:rPr>
      <w:color w:val="0033CC"/>
      <w:u w:val="none"/>
    </w:rPr>
  </w:style>
  <w:style w:type="paragraph" w:customStyle="1" w:styleId="BodyTextRight">
    <w:name w:val="Body Text Right"/>
    <w:basedOn w:val="BodyText"/>
    <w:rsid w:val="00870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9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95E"/>
    <w:rPr>
      <w:sz w:val="32"/>
    </w:rPr>
  </w:style>
  <w:style w:type="paragraph" w:customStyle="1" w:styleId="HeadingProcedure">
    <w:name w:val="Heading Procedure"/>
    <w:basedOn w:val="HeadingBase"/>
    <w:next w:val="Normal"/>
    <w:rsid w:val="00870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95E"/>
    <w:pPr>
      <w:spacing w:before="60" w:after="60"/>
    </w:pPr>
  </w:style>
  <w:style w:type="paragraph" w:styleId="ListContinue">
    <w:name w:val="List Continue"/>
    <w:basedOn w:val="List"/>
    <w:rsid w:val="0087095E"/>
    <w:pPr>
      <w:ind w:firstLine="0"/>
    </w:pPr>
  </w:style>
  <w:style w:type="paragraph" w:customStyle="1" w:styleId="ListNote">
    <w:name w:val="List Note"/>
    <w:basedOn w:val="List"/>
    <w:rsid w:val="00870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95E"/>
    <w:rPr>
      <w:rFonts w:ascii="Courier New" w:hAnsi="Courier New"/>
    </w:rPr>
  </w:style>
  <w:style w:type="paragraph" w:customStyle="1" w:styleId="NoteBullet">
    <w:name w:val="Note Bullet"/>
    <w:basedOn w:val="Note"/>
    <w:rsid w:val="00870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9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95E"/>
    <w:rPr>
      <w:b/>
      <w:smallCaps/>
    </w:rPr>
  </w:style>
  <w:style w:type="paragraph" w:customStyle="1" w:styleId="TableListNumber">
    <w:name w:val="Table List Number"/>
    <w:basedOn w:val="ListNumber"/>
    <w:rsid w:val="00870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95E"/>
    <w:pPr>
      <w:numPr>
        <w:numId w:val="9"/>
      </w:numPr>
    </w:pPr>
  </w:style>
  <w:style w:type="paragraph" w:customStyle="1" w:styleId="ListAlpha2">
    <w:name w:val="List Alpha 2"/>
    <w:basedOn w:val="List2"/>
    <w:rsid w:val="0087095E"/>
    <w:pPr>
      <w:numPr>
        <w:numId w:val="8"/>
      </w:numPr>
    </w:pPr>
  </w:style>
  <w:style w:type="paragraph" w:styleId="List2">
    <w:name w:val="List 2"/>
    <w:basedOn w:val="BodyText"/>
    <w:rsid w:val="00870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9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9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95E"/>
    <w:pPr>
      <w:numPr>
        <w:numId w:val="4"/>
      </w:numPr>
    </w:pPr>
  </w:style>
  <w:style w:type="paragraph" w:styleId="ListContinue2">
    <w:name w:val="List Continue 2"/>
    <w:basedOn w:val="List2"/>
    <w:rsid w:val="0087095E"/>
    <w:pPr>
      <w:ind w:firstLine="0"/>
    </w:pPr>
  </w:style>
  <w:style w:type="paragraph" w:styleId="ListContinue3">
    <w:name w:val="List Continue 3"/>
    <w:basedOn w:val="List3"/>
    <w:rsid w:val="0087095E"/>
    <w:pPr>
      <w:ind w:left="1021" w:firstLine="0"/>
    </w:pPr>
  </w:style>
  <w:style w:type="paragraph" w:styleId="ListContinue4">
    <w:name w:val="List Continue 4"/>
    <w:basedOn w:val="List4"/>
    <w:rsid w:val="0087095E"/>
    <w:pPr>
      <w:ind w:firstLine="0"/>
    </w:pPr>
  </w:style>
  <w:style w:type="paragraph" w:styleId="ListContinue5">
    <w:name w:val="List Continue 5"/>
    <w:basedOn w:val="List5"/>
    <w:rsid w:val="0087095E"/>
    <w:pPr>
      <w:ind w:firstLine="0"/>
    </w:pPr>
  </w:style>
  <w:style w:type="paragraph" w:styleId="ListNumber3">
    <w:name w:val="List Number 3"/>
    <w:basedOn w:val="List3"/>
    <w:rsid w:val="0087095E"/>
    <w:pPr>
      <w:numPr>
        <w:numId w:val="5"/>
      </w:numPr>
    </w:pPr>
  </w:style>
  <w:style w:type="paragraph" w:styleId="ListNumber4">
    <w:name w:val="List Number 4"/>
    <w:basedOn w:val="List4"/>
    <w:rsid w:val="0087095E"/>
    <w:pPr>
      <w:numPr>
        <w:numId w:val="6"/>
      </w:numPr>
    </w:pPr>
  </w:style>
  <w:style w:type="paragraph" w:styleId="ListNumber5">
    <w:name w:val="List Number 5"/>
    <w:basedOn w:val="List5"/>
    <w:rsid w:val="0087095E"/>
    <w:pPr>
      <w:numPr>
        <w:numId w:val="7"/>
      </w:numPr>
    </w:pPr>
  </w:style>
  <w:style w:type="paragraph" w:styleId="BlockText">
    <w:name w:val="Block Text"/>
    <w:basedOn w:val="Normal"/>
    <w:rsid w:val="00870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95E"/>
    <w:rPr>
      <w:sz w:val="16"/>
      <w:vertAlign w:val="superscript"/>
    </w:rPr>
  </w:style>
  <w:style w:type="character" w:customStyle="1" w:styleId="Symbols">
    <w:name w:val="Symbols"/>
    <w:basedOn w:val="DefaultParagraphFont"/>
    <w:rsid w:val="0087095E"/>
    <w:rPr>
      <w:rFonts w:ascii="Symbol" w:hAnsi="Symbol"/>
    </w:rPr>
  </w:style>
  <w:style w:type="character" w:customStyle="1" w:styleId="MenuOptions">
    <w:name w:val="Menu Options"/>
    <w:basedOn w:val="DefaultParagraphFont"/>
    <w:rsid w:val="00870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95E"/>
    <w:rPr>
      <w:b/>
    </w:rPr>
  </w:style>
  <w:style w:type="character" w:customStyle="1" w:styleId="Underlined">
    <w:name w:val="Underlined"/>
    <w:basedOn w:val="DefaultParagraphFont"/>
    <w:rsid w:val="0087095E"/>
    <w:rPr>
      <w:u w:val="single"/>
    </w:rPr>
  </w:style>
  <w:style w:type="paragraph" w:customStyle="1" w:styleId="TableBodyTextRight">
    <w:name w:val="Table Body Text Right"/>
    <w:basedOn w:val="TableBodyText"/>
    <w:rsid w:val="00870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95E"/>
    <w:rPr>
      <w:sz w:val="18"/>
    </w:rPr>
  </w:style>
  <w:style w:type="paragraph" w:customStyle="1" w:styleId="BodySmallRight">
    <w:name w:val="Body Small Right"/>
    <w:basedOn w:val="BodyTextRight"/>
    <w:rsid w:val="0087095E"/>
    <w:rPr>
      <w:sz w:val="18"/>
      <w:szCs w:val="18"/>
    </w:rPr>
  </w:style>
  <w:style w:type="paragraph" w:customStyle="1" w:styleId="MarginEdition">
    <w:name w:val="Margin Edition"/>
    <w:basedOn w:val="MarginNote"/>
    <w:rsid w:val="00870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95E"/>
    <w:rPr>
      <w:sz w:val="2"/>
      <w:szCs w:val="2"/>
    </w:rPr>
  </w:style>
  <w:style w:type="character" w:customStyle="1" w:styleId="Small">
    <w:name w:val="Small"/>
    <w:basedOn w:val="DefaultParagraphFont"/>
    <w:rsid w:val="0087095E"/>
    <w:rPr>
      <w:sz w:val="16"/>
    </w:rPr>
  </w:style>
  <w:style w:type="paragraph" w:customStyle="1" w:styleId="WideTable">
    <w:name w:val="Wide Table"/>
    <w:basedOn w:val="Normal"/>
    <w:rsid w:val="00870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95E"/>
  </w:style>
  <w:style w:type="paragraph" w:styleId="Quote">
    <w:name w:val="Quote"/>
    <w:basedOn w:val="Heading1"/>
    <w:link w:val="QuoteChar"/>
    <w:qFormat/>
    <w:rsid w:val="00870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95E"/>
    <w:pPr>
      <w:pageBreakBefore/>
    </w:pPr>
  </w:style>
  <w:style w:type="paragraph" w:customStyle="1" w:styleId="Border">
    <w:name w:val="Border"/>
    <w:basedOn w:val="Normal"/>
    <w:qFormat/>
    <w:rsid w:val="00870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95E"/>
    <w:rPr>
      <w:u w:val="single"/>
    </w:rPr>
  </w:style>
  <w:style w:type="character" w:customStyle="1" w:styleId="BoldandItalics">
    <w:name w:val="Bold and Italics"/>
    <w:qFormat/>
    <w:rsid w:val="0087095E"/>
    <w:rPr>
      <w:b/>
      <w:i/>
      <w:u w:val="none"/>
    </w:rPr>
  </w:style>
  <w:style w:type="paragraph" w:styleId="BalloonText">
    <w:name w:val="Balloon Text"/>
    <w:basedOn w:val="Normal"/>
    <w:link w:val="BalloonTextChar"/>
    <w:rsid w:val="00870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95E"/>
    <w:pPr>
      <w:spacing w:before="0" w:after="0"/>
    </w:pPr>
  </w:style>
  <w:style w:type="paragraph" w:customStyle="1" w:styleId="BodyTextBold">
    <w:name w:val="Body Text Bold"/>
    <w:basedOn w:val="BodyText"/>
    <w:qFormat/>
    <w:rsid w:val="0087095E"/>
    <w:rPr>
      <w:b/>
    </w:rPr>
  </w:style>
  <w:style w:type="character" w:styleId="Hyperlink">
    <w:name w:val="Hyperlink"/>
    <w:basedOn w:val="DefaultParagraphFont"/>
    <w:uiPriority w:val="99"/>
    <w:unhideWhenUsed/>
    <w:rsid w:val="007C41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5790</Characters>
  <Application>Microsoft Office Word</Application>
  <DocSecurity>0</DocSecurity>
  <Lines>214</Lines>
  <Paragraphs>139</Paragraphs>
  <ScaleCrop>false</ScaleCrop>
  <Company>Author-it Software Corporation Ltd.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DEFEXO122 Plan explosive trials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