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231" w:rsidP="00B412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DEFEXO121 Assess explosive firings</w:t>
      </w:r>
      <w:r>
        <w:fldChar w:fldCharType="end"/>
      </w:r>
    </w:p>
    <w:p w:rsidR="00B41231" w:rsidP="00B41231">
      <w:pPr>
        <w:pStyle w:val="Version"/>
        <w:sectPr w:rsidSect="003E1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1517" w:rsidP="003E1517">
      <w:pPr>
        <w:pStyle w:val="SuperHeading"/>
      </w:pPr>
      <w:r w:rsidRPr="003E1517">
        <w:t>DEFEXO121 Assess explosive firings</w:t>
      </w:r>
    </w:p>
    <w:p w:rsidR="00000000" w:rsidRPr="003E1517" w:rsidP="003E1517">
      <w:pPr>
        <w:pStyle w:val="Heading1"/>
      </w:pPr>
      <w:bookmarkStart w:id="1" w:name="O_1098209"/>
      <w:bookmarkEnd w:id="1"/>
      <w:r w:rsidRPr="003E15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Release 2. Modifications made to Foundation Skills and Assessment Conditions.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t>Release 1. This unit was released in DEF Defence Training Package release 1.0 and meets the Standards for Training Packages.</w:t>
            </w:r>
          </w:p>
          <w:p w:rsidR="00000000" w:rsidRPr="003E1517" w:rsidP="003E1517">
            <w:pPr>
              <w:pStyle w:val="BodyText"/>
            </w:pPr>
            <w:r w:rsidRPr="003E1517">
              <w:t>This unit supersedes and is equ</w:t>
            </w:r>
            <w:r w:rsidRPr="003E1517">
              <w:t>ivalent to DEFEO601D Assess explosive ordnance firings.</w:t>
            </w:r>
          </w:p>
          <w:p w:rsidR="00000000" w:rsidRPr="003E1517" w:rsidP="003E1517">
            <w:pPr>
              <w:pStyle w:val="ListBullet"/>
            </w:pPr>
            <w:r w:rsidRPr="003E1517">
              <w:t>Unit code updated</w:t>
            </w:r>
          </w:p>
          <w:p w:rsidR="00000000" w:rsidRPr="003E1517" w:rsidP="003E1517">
            <w:pPr>
              <w:pStyle w:val="ListBullet"/>
            </w:pPr>
            <w:r w:rsidRPr="003E1517">
              <w:t>Content and formatting updated to comply with the new standards</w:t>
            </w:r>
          </w:p>
          <w:p w:rsidR="00000000" w:rsidRPr="003E1517" w:rsidP="003E1517">
            <w:pPr>
              <w:pStyle w:val="ListBullet"/>
            </w:pPr>
            <w:r w:rsidRPr="003E1517">
              <w:t>All PC transitioned from passive to active voice</w:t>
            </w:r>
          </w:p>
          <w:p w:rsidR="00000000" w:rsidRPr="003E1517" w:rsidP="003E1517">
            <w:pPr>
              <w:pStyle w:val="ListBullet"/>
            </w:pPr>
            <w:r w:rsidRPr="003E1517">
              <w:t>Unit title changed to better reflect unit outcomes</w:t>
            </w:r>
          </w:p>
          <w:p w:rsidR="00000000" w:rsidRPr="003E1517" w:rsidP="003E1517">
            <w:pPr>
              <w:pStyle w:val="ListBullet"/>
            </w:pPr>
            <w:r w:rsidRPr="003E1517">
              <w:t>PC 1.2 removed</w:t>
            </w:r>
          </w:p>
        </w:tc>
      </w:tr>
    </w:tbl>
    <w:p w:rsidR="00B41231" w:rsidP="003E1517">
      <w:pPr>
        <w:pStyle w:val="NoPaddingFontSize1"/>
      </w:pPr>
    </w:p>
    <w:p w:rsidR="00B41231" w:rsidP="003E1517">
      <w:pPr>
        <w:pStyle w:val="NoPaddingFontSize1"/>
      </w:pPr>
    </w:p>
    <w:p w:rsidR="00000000" w:rsidRPr="003E1517" w:rsidP="003E1517">
      <w:pPr>
        <w:pStyle w:val="Heading1"/>
      </w:pPr>
      <w:bookmarkStart w:id="2" w:name="O_1098208"/>
      <w:bookmarkEnd w:id="2"/>
      <w:r w:rsidRPr="003E15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t xml:space="preserve">This unit describes the skills required to prepare and fire explosives and to conduct an assessment of the explosive firing in support of explosive </w:t>
            </w:r>
            <w:r w:rsidRPr="003E1517">
              <w:t>assessment without using sophisticated measuring or tracking equipment. Assessment of explosives is a process used to determine whether the explosive is performing within specified tolerances.</w:t>
            </w:r>
          </w:p>
          <w:p w:rsidR="00000000" w:rsidRPr="003E1517" w:rsidP="003E1517">
            <w:pPr>
              <w:pStyle w:val="BodyText"/>
            </w:pPr>
            <w:r w:rsidRPr="003E1517">
              <w:t>This unit applies to Defence personnel who are required to prep</w:t>
            </w:r>
            <w:r w:rsidRPr="003E1517">
              <w:t>are and fire explosives and conduct an assessment of the explosive firing in support of explosive assessment.</w:t>
            </w:r>
          </w:p>
          <w:p w:rsidR="00000000" w:rsidRPr="003E1517" w:rsidP="003E1517">
            <w:pPr>
              <w:pStyle w:val="BodyText"/>
            </w:pPr>
            <w:r w:rsidRPr="003E1517">
              <w:t>The skills and knowledge described in this unit must be applied within the legislative, regulatory and policy environment in which they are carrie</w:t>
            </w:r>
            <w:r w:rsidRPr="003E1517">
              <w:t>d out. Organisational policies and procedures must be consulted and adhered to.</w:t>
            </w:r>
          </w:p>
          <w:p w:rsidR="00000000" w:rsidRPr="003E1517" w:rsidP="003E1517">
            <w:pPr>
              <w:pStyle w:val="BodyText"/>
            </w:pPr>
            <w:r w:rsidRPr="003E1517">
              <w:t xml:space="preserve">Those undertaking this unit would work as part of a team under indirect supervision, using discretion and judgement and taking responsibility for the quality of their outputs. </w:t>
            </w:r>
            <w:r w:rsidRPr="003E1517">
              <w:t>They would conduct complex tasks in a range of contexts.</w:t>
            </w:r>
          </w:p>
          <w:p w:rsidR="00000000" w:rsidRPr="003E1517" w:rsidP="003E1517">
            <w:pPr>
              <w:pStyle w:val="BodyText"/>
            </w:pPr>
            <w:r w:rsidRPr="003E1517">
              <w:t>No licensing, legislative or certification requirements apply to unit at the time of publication.</w:t>
            </w:r>
          </w:p>
        </w:tc>
      </w:tr>
    </w:tbl>
    <w:p w:rsidR="00B41231" w:rsidP="003E1517">
      <w:pPr>
        <w:pStyle w:val="NoPaddingFontSize1"/>
      </w:pPr>
    </w:p>
    <w:p w:rsidR="00B41231" w:rsidP="003E1517">
      <w:pPr>
        <w:pStyle w:val="NoPaddingFontSize1"/>
      </w:pPr>
    </w:p>
    <w:p w:rsidR="00000000" w:rsidRPr="003E1517" w:rsidP="003E1517">
      <w:pPr>
        <w:pStyle w:val="Heading1"/>
      </w:pPr>
      <w:bookmarkStart w:id="3" w:name="O_1105363"/>
      <w:bookmarkEnd w:id="3"/>
      <w:r w:rsidRPr="003E15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t>Not applicable.</w:t>
            </w:r>
          </w:p>
        </w:tc>
      </w:tr>
    </w:tbl>
    <w:p w:rsidR="00B41231" w:rsidP="003E1517">
      <w:pPr>
        <w:pStyle w:val="NoPaddingFontSize1"/>
      </w:pPr>
    </w:p>
    <w:p w:rsidR="00B41231" w:rsidP="003E1517">
      <w:pPr>
        <w:pStyle w:val="NoPaddingFontSize1"/>
      </w:pPr>
    </w:p>
    <w:p w:rsidR="00000000" w:rsidRPr="003E1517" w:rsidP="003E1517">
      <w:pPr>
        <w:pStyle w:val="Heading1"/>
      </w:pPr>
      <w:bookmarkStart w:id="4" w:name="O_1098207"/>
      <w:bookmarkEnd w:id="4"/>
      <w:r w:rsidRPr="003E15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t>Explo</w:t>
            </w:r>
            <w:r w:rsidRPr="003E1517">
              <w:t>sive Ordnance</w:t>
            </w:r>
          </w:p>
        </w:tc>
      </w:tr>
    </w:tbl>
    <w:p w:rsidR="00B41231" w:rsidP="003E1517">
      <w:pPr>
        <w:pStyle w:val="NoPaddingFontSize1"/>
      </w:pPr>
    </w:p>
    <w:p w:rsidR="00B41231" w:rsidP="003E1517">
      <w:pPr>
        <w:pStyle w:val="NoPaddingFontSize1"/>
      </w:pPr>
    </w:p>
    <w:p w:rsidR="00000000" w:rsidRPr="003E1517" w:rsidP="003E1517">
      <w:pPr>
        <w:pStyle w:val="Heading1"/>
      </w:pPr>
      <w:bookmarkStart w:id="5" w:name="O_1105364"/>
      <w:bookmarkEnd w:id="5"/>
      <w:r w:rsidRPr="003E15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t>Not applicable.</w:t>
            </w:r>
          </w:p>
        </w:tc>
      </w:tr>
    </w:tbl>
    <w:p w:rsidR="00B41231" w:rsidP="003E1517">
      <w:pPr>
        <w:pStyle w:val="NoPaddingFontSize1"/>
      </w:pPr>
    </w:p>
    <w:p w:rsidR="00B41231" w:rsidP="003E1517">
      <w:pPr>
        <w:pStyle w:val="NoPaddingFontSize1"/>
      </w:pPr>
    </w:p>
    <w:p w:rsidR="00000000" w:rsidRPr="003E1517" w:rsidP="003E1517">
      <w:pPr>
        <w:pStyle w:val="Heading1"/>
      </w:pPr>
      <w:bookmarkStart w:id="6" w:name="O_1098206"/>
      <w:bookmarkEnd w:id="6"/>
      <w:r w:rsidRPr="003E151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PERFORMANCE CRITERIA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Performance criteria describe the performance needed to demonstrate achievement of the element.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rPr>
                <w:rStyle w:val="SpecialBold"/>
              </w:rPr>
              <w:t>Prepare for firing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Identify and clarify requirements for firing of explosives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Confirm firing methods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 xml:space="preserve">Liaise with and notify </w:t>
            </w:r>
            <w:r w:rsidRPr="003E1517">
              <w:t>parties affected by the firing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Prepare site/equipment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Identify, calculate and monitor net explosive quantities throughout the operation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Identify, analyse and apply compatibility throughout the operation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 xml:space="preserve">Set up test equipment in </w:t>
            </w:r>
            <w:r w:rsidRPr="003E1517">
              <w:t>accordance with instructions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rPr>
                <w:rStyle w:val="SpecialBold"/>
              </w:rPr>
              <w:t>Fire explosive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Prepare and test explosives and firing mechanisms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Conduct firings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Inspect residue to ensure all explosives have been fired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Take and record measurements in accordance with instructions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rPr>
                <w:rStyle w:val="SpecialBold"/>
              </w:rPr>
              <w:t>Finalise the firing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Assess recorded measurements against standards and results and document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t>Maintain and/or refurbish site and equipment</w:t>
            </w:r>
          </w:p>
        </w:tc>
      </w:tr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17">
            <w:pPr>
              <w:pStyle w:val="BodyText"/>
              <w:rPr>
                <w:lang w:val="en-NZ"/>
              </w:rPr>
            </w:pPr>
            <w:r w:rsidRPr="003E151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t>Maintain documentation and records</w:t>
            </w:r>
          </w:p>
        </w:tc>
      </w:tr>
    </w:tbl>
    <w:p w:rsidR="00B41231" w:rsidP="003E1517">
      <w:pPr>
        <w:pStyle w:val="NoPaddingFontSize1"/>
      </w:pPr>
    </w:p>
    <w:p w:rsidR="00B41231" w:rsidP="003E1517">
      <w:pPr>
        <w:pStyle w:val="NoPaddingFontSize1"/>
      </w:pPr>
    </w:p>
    <w:p w:rsidR="00000000" w:rsidRPr="003E1517" w:rsidP="003E1517">
      <w:pPr>
        <w:pStyle w:val="Heading1"/>
      </w:pPr>
      <w:bookmarkStart w:id="7" w:name="O_1098205"/>
      <w:bookmarkEnd w:id="7"/>
      <w:r w:rsidRPr="003E15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t>Foundation skills essential to performance are explicit in the performance criteria of this unit of competency.</w:t>
            </w:r>
          </w:p>
        </w:tc>
      </w:tr>
    </w:tbl>
    <w:p w:rsidR="00B41231" w:rsidP="003E1517">
      <w:pPr>
        <w:pStyle w:val="NoPaddingFontSize1"/>
      </w:pPr>
    </w:p>
    <w:p w:rsidR="00B41231" w:rsidP="003E1517">
      <w:pPr>
        <w:pStyle w:val="NoPaddingFontSize1"/>
      </w:pPr>
    </w:p>
    <w:p w:rsidR="00000000" w:rsidRPr="003E1517" w:rsidP="003E1517">
      <w:pPr>
        <w:pStyle w:val="Heading1"/>
      </w:pPr>
      <w:bookmarkStart w:id="8" w:name="O_1105365"/>
      <w:bookmarkEnd w:id="8"/>
      <w:r w:rsidRPr="003E15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t>Range is restricted to essential operating conditions and any other variables essential to the work environment.</w:t>
            </w:r>
          </w:p>
          <w:p w:rsidR="00000000" w:rsidRPr="003E1517" w:rsidP="003E1517">
            <w:pPr>
              <w:pStyle w:val="BodyText"/>
            </w:pPr>
            <w:r w:rsidRPr="003E1517">
              <w:t>Non-essential conditions may be found in the Companion Volume Implementation Guide.</w:t>
            </w:r>
          </w:p>
        </w:tc>
      </w:tr>
    </w:tbl>
    <w:p w:rsidR="00B41231" w:rsidP="003E1517">
      <w:pPr>
        <w:pStyle w:val="NoPaddingFontSize1"/>
      </w:pPr>
    </w:p>
    <w:p w:rsidR="00B41231" w:rsidP="003E1517">
      <w:pPr>
        <w:pStyle w:val="NoPaddingFontSize1"/>
      </w:pPr>
    </w:p>
    <w:p w:rsidR="00000000" w:rsidRPr="003E1517" w:rsidP="003E1517">
      <w:pPr>
        <w:pStyle w:val="Heading1"/>
      </w:pPr>
      <w:bookmarkStart w:id="9" w:name="O_1098204"/>
      <w:bookmarkEnd w:id="9"/>
      <w:r w:rsidRPr="003E15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17" w:rsidP="003E1517">
            <w:pPr>
              <w:pStyle w:val="BodyText"/>
            </w:pPr>
            <w:r w:rsidRPr="003E1517">
              <w:t>This unit su</w:t>
            </w:r>
            <w:r w:rsidRPr="003E1517">
              <w:t>persedes and is equivalent to DEFEO601D Assess explosive ordnance firings.</w:t>
            </w:r>
          </w:p>
        </w:tc>
      </w:tr>
    </w:tbl>
    <w:p w:rsidR="00B41231" w:rsidP="003E1517">
      <w:pPr>
        <w:pStyle w:val="NoPaddingFontSize1"/>
      </w:pPr>
    </w:p>
    <w:p w:rsidR="00B41231" w:rsidP="003E1517">
      <w:pPr>
        <w:pStyle w:val="NoPaddingFontSize1"/>
      </w:pPr>
    </w:p>
    <w:p w:rsidR="00000000" w:rsidRPr="003E1517" w:rsidP="003E1517">
      <w:pPr>
        <w:pStyle w:val="Heading1"/>
      </w:pPr>
      <w:bookmarkStart w:id="10" w:name="O_1098210"/>
      <w:bookmarkEnd w:id="10"/>
      <w:r w:rsidRPr="003E1517">
        <w:t>Links</w:t>
      </w:r>
    </w:p>
    <w:p w:rsidR="00000000" w:rsidRPr="003E1517" w:rsidP="00B41231">
      <w:pPr>
        <w:pStyle w:val="BodyText"/>
      </w:pPr>
      <w:r w:rsidRPr="003E15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E259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E1517" w:rsidP="003E1517"/>
    <w:sectPr w:rsidSect="003E15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17" w:rsidRPr="00B41231" w:rsidP="00B412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231" w:rsidP="003E1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231" w:rsidP="003E1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41231" w:rsidP="003E15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2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517" w:rsidRPr="00B41231" w:rsidP="00B412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231" w:rsidRPr="002D2AF8" w:rsidP="003E1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DEFEXO121 Assess explosive firings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41231" w:rsidP="003E15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7A4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EA7F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5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5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5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5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5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5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5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5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5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5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517"/>
  </w:style>
  <w:style w:type="character" w:customStyle="1" w:styleId="Heading1Char">
    <w:name w:val="Heading 1 Char"/>
    <w:basedOn w:val="DefaultParagraphFont"/>
    <w:link w:val="Heading1"/>
    <w:rsid w:val="003E15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5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5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5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517"/>
    <w:rPr>
      <w:b/>
      <w:spacing w:val="0"/>
    </w:rPr>
  </w:style>
  <w:style w:type="paragraph" w:customStyle="1" w:styleId="SuperHeading">
    <w:name w:val="SuperHeading"/>
    <w:basedOn w:val="Normal"/>
    <w:rsid w:val="003E15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5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15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5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5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5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5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5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5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5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5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5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5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5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5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5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5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5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5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5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5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5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5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5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5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5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5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5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5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5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5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517"/>
    <w:rPr>
      <w:i/>
    </w:rPr>
  </w:style>
  <w:style w:type="paragraph" w:styleId="Caption">
    <w:name w:val="caption"/>
    <w:basedOn w:val="BodyText"/>
    <w:next w:val="Normal"/>
    <w:qFormat/>
    <w:rsid w:val="003E15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5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5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517"/>
  </w:style>
  <w:style w:type="paragraph" w:styleId="TableofFigures">
    <w:name w:val="table of figures"/>
    <w:basedOn w:val="Normal"/>
    <w:next w:val="Normal"/>
    <w:semiHidden/>
    <w:rsid w:val="003E15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5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517"/>
    <w:rPr>
      <w:rFonts w:ascii="Wingdings" w:hAnsi="Wingdings"/>
    </w:rPr>
  </w:style>
  <w:style w:type="paragraph" w:customStyle="1" w:styleId="TableHeading">
    <w:name w:val="Table Heading"/>
    <w:basedOn w:val="HeadingBase"/>
    <w:rsid w:val="003E15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517"/>
    <w:rPr>
      <w:color w:val="0033CC"/>
      <w:u w:val="none"/>
    </w:rPr>
  </w:style>
  <w:style w:type="paragraph" w:customStyle="1" w:styleId="BodyTextRight">
    <w:name w:val="Body Text Right"/>
    <w:basedOn w:val="BodyText"/>
    <w:rsid w:val="003E15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5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5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5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5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5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517"/>
    <w:rPr>
      <w:sz w:val="32"/>
    </w:rPr>
  </w:style>
  <w:style w:type="paragraph" w:customStyle="1" w:styleId="HeadingProcedure">
    <w:name w:val="Heading Procedure"/>
    <w:basedOn w:val="HeadingBase"/>
    <w:next w:val="Normal"/>
    <w:rsid w:val="003E15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517"/>
    <w:pPr>
      <w:spacing w:before="60" w:after="60"/>
    </w:pPr>
  </w:style>
  <w:style w:type="paragraph" w:styleId="ListContinue">
    <w:name w:val="List Continue"/>
    <w:basedOn w:val="List"/>
    <w:rsid w:val="003E1517"/>
    <w:pPr>
      <w:ind w:firstLine="0"/>
    </w:pPr>
  </w:style>
  <w:style w:type="paragraph" w:customStyle="1" w:styleId="ListNote">
    <w:name w:val="List Note"/>
    <w:basedOn w:val="List"/>
    <w:rsid w:val="003E15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5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5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517"/>
    <w:rPr>
      <w:rFonts w:ascii="Courier New" w:hAnsi="Courier New"/>
    </w:rPr>
  </w:style>
  <w:style w:type="paragraph" w:customStyle="1" w:styleId="NoteBullet">
    <w:name w:val="Note Bullet"/>
    <w:basedOn w:val="Note"/>
    <w:rsid w:val="003E15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5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5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5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5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5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5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517"/>
    <w:rPr>
      <w:b/>
      <w:smallCaps/>
    </w:rPr>
  </w:style>
  <w:style w:type="paragraph" w:customStyle="1" w:styleId="TableListNumber">
    <w:name w:val="Table List Number"/>
    <w:basedOn w:val="ListNumber"/>
    <w:rsid w:val="003E15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5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517"/>
    <w:pPr>
      <w:numPr>
        <w:numId w:val="8"/>
      </w:numPr>
    </w:pPr>
  </w:style>
  <w:style w:type="paragraph" w:customStyle="1" w:styleId="ListAlpha2">
    <w:name w:val="List Alpha 2"/>
    <w:basedOn w:val="List2"/>
    <w:rsid w:val="003E1517"/>
    <w:pPr>
      <w:numPr>
        <w:numId w:val="7"/>
      </w:numPr>
    </w:pPr>
  </w:style>
  <w:style w:type="paragraph" w:styleId="List2">
    <w:name w:val="List 2"/>
    <w:basedOn w:val="BodyText"/>
    <w:rsid w:val="003E15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5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5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5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5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5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517"/>
    <w:pPr>
      <w:numPr>
        <w:numId w:val="3"/>
      </w:numPr>
    </w:pPr>
  </w:style>
  <w:style w:type="paragraph" w:styleId="ListContinue2">
    <w:name w:val="List Continue 2"/>
    <w:basedOn w:val="List2"/>
    <w:rsid w:val="003E1517"/>
    <w:pPr>
      <w:ind w:firstLine="0"/>
    </w:pPr>
  </w:style>
  <w:style w:type="paragraph" w:styleId="ListContinue3">
    <w:name w:val="List Continue 3"/>
    <w:basedOn w:val="List3"/>
    <w:rsid w:val="003E1517"/>
    <w:pPr>
      <w:ind w:left="1021" w:firstLine="0"/>
    </w:pPr>
  </w:style>
  <w:style w:type="paragraph" w:styleId="ListContinue4">
    <w:name w:val="List Continue 4"/>
    <w:basedOn w:val="List4"/>
    <w:rsid w:val="003E1517"/>
    <w:pPr>
      <w:ind w:firstLine="0"/>
    </w:pPr>
  </w:style>
  <w:style w:type="paragraph" w:styleId="ListContinue5">
    <w:name w:val="List Continue 5"/>
    <w:basedOn w:val="List5"/>
    <w:rsid w:val="003E1517"/>
    <w:pPr>
      <w:ind w:firstLine="0"/>
    </w:pPr>
  </w:style>
  <w:style w:type="paragraph" w:styleId="ListNumber3">
    <w:name w:val="List Number 3"/>
    <w:basedOn w:val="List3"/>
    <w:rsid w:val="003E1517"/>
    <w:pPr>
      <w:numPr>
        <w:numId w:val="4"/>
      </w:numPr>
    </w:pPr>
  </w:style>
  <w:style w:type="paragraph" w:styleId="ListNumber4">
    <w:name w:val="List Number 4"/>
    <w:basedOn w:val="List4"/>
    <w:rsid w:val="003E1517"/>
    <w:pPr>
      <w:numPr>
        <w:numId w:val="5"/>
      </w:numPr>
    </w:pPr>
  </w:style>
  <w:style w:type="paragraph" w:styleId="ListNumber5">
    <w:name w:val="List Number 5"/>
    <w:basedOn w:val="List5"/>
    <w:rsid w:val="003E1517"/>
    <w:pPr>
      <w:numPr>
        <w:numId w:val="6"/>
      </w:numPr>
    </w:pPr>
  </w:style>
  <w:style w:type="paragraph" w:styleId="BlockText">
    <w:name w:val="Block Text"/>
    <w:basedOn w:val="Normal"/>
    <w:rsid w:val="003E15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5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517"/>
    <w:rPr>
      <w:sz w:val="16"/>
      <w:vertAlign w:val="superscript"/>
    </w:rPr>
  </w:style>
  <w:style w:type="character" w:customStyle="1" w:styleId="Symbols">
    <w:name w:val="Symbols"/>
    <w:basedOn w:val="DefaultParagraphFont"/>
    <w:rsid w:val="003E1517"/>
    <w:rPr>
      <w:rFonts w:ascii="Symbol" w:hAnsi="Symbol"/>
    </w:rPr>
  </w:style>
  <w:style w:type="character" w:customStyle="1" w:styleId="MenuOptions">
    <w:name w:val="Menu Options"/>
    <w:basedOn w:val="DefaultParagraphFont"/>
    <w:rsid w:val="003E15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517"/>
    <w:rPr>
      <w:b/>
    </w:rPr>
  </w:style>
  <w:style w:type="character" w:customStyle="1" w:styleId="Underlined">
    <w:name w:val="Underlined"/>
    <w:basedOn w:val="DefaultParagraphFont"/>
    <w:rsid w:val="003E1517"/>
    <w:rPr>
      <w:u w:val="single"/>
    </w:rPr>
  </w:style>
  <w:style w:type="paragraph" w:customStyle="1" w:styleId="TableBodyTextRight">
    <w:name w:val="Table Body Text Right"/>
    <w:basedOn w:val="TableBodyText"/>
    <w:rsid w:val="003E15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517"/>
    <w:rPr>
      <w:sz w:val="18"/>
    </w:rPr>
  </w:style>
  <w:style w:type="paragraph" w:customStyle="1" w:styleId="BodySmallRight">
    <w:name w:val="Body Small Right"/>
    <w:basedOn w:val="BodyTextRight"/>
    <w:rsid w:val="003E1517"/>
    <w:rPr>
      <w:sz w:val="18"/>
      <w:szCs w:val="18"/>
    </w:rPr>
  </w:style>
  <w:style w:type="paragraph" w:customStyle="1" w:styleId="MarginEdition">
    <w:name w:val="Margin Edition"/>
    <w:basedOn w:val="MarginNote"/>
    <w:rsid w:val="003E15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517"/>
    <w:rPr>
      <w:sz w:val="2"/>
      <w:szCs w:val="2"/>
    </w:rPr>
  </w:style>
  <w:style w:type="character" w:customStyle="1" w:styleId="Small">
    <w:name w:val="Small"/>
    <w:basedOn w:val="DefaultParagraphFont"/>
    <w:rsid w:val="003E1517"/>
    <w:rPr>
      <w:sz w:val="16"/>
    </w:rPr>
  </w:style>
  <w:style w:type="paragraph" w:customStyle="1" w:styleId="WideTable">
    <w:name w:val="Wide Table"/>
    <w:basedOn w:val="Normal"/>
    <w:rsid w:val="003E15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517"/>
  </w:style>
  <w:style w:type="paragraph" w:styleId="Quote">
    <w:name w:val="Quote"/>
    <w:basedOn w:val="Heading1"/>
    <w:link w:val="QuoteChar"/>
    <w:qFormat/>
    <w:rsid w:val="003E15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5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517"/>
    <w:pPr>
      <w:pageBreakBefore/>
    </w:pPr>
  </w:style>
  <w:style w:type="paragraph" w:customStyle="1" w:styleId="Border">
    <w:name w:val="Border"/>
    <w:basedOn w:val="Normal"/>
    <w:qFormat/>
    <w:rsid w:val="003E15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5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5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5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5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5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5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5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5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517"/>
    <w:rPr>
      <w:u w:val="single"/>
    </w:rPr>
  </w:style>
  <w:style w:type="character" w:customStyle="1" w:styleId="BoldandItalics">
    <w:name w:val="Bold and Italics"/>
    <w:qFormat/>
    <w:rsid w:val="003E1517"/>
    <w:rPr>
      <w:b/>
      <w:i/>
      <w:u w:val="none"/>
    </w:rPr>
  </w:style>
  <w:style w:type="paragraph" w:styleId="BalloonText">
    <w:name w:val="Balloon Text"/>
    <w:basedOn w:val="Normal"/>
    <w:link w:val="BalloonTextChar"/>
    <w:rsid w:val="003E1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5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5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5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5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5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517"/>
    <w:pPr>
      <w:spacing w:before="0" w:after="0"/>
    </w:pPr>
  </w:style>
  <w:style w:type="paragraph" w:customStyle="1" w:styleId="BodyTextBold">
    <w:name w:val="Body Text Bold"/>
    <w:basedOn w:val="BodyText"/>
    <w:qFormat/>
    <w:rsid w:val="003E1517"/>
    <w:rPr>
      <w:b/>
    </w:rPr>
  </w:style>
  <w:style w:type="character" w:styleId="Hyperlink">
    <w:name w:val="Hyperlink"/>
    <w:basedOn w:val="DefaultParagraphFont"/>
    <w:uiPriority w:val="99"/>
    <w:unhideWhenUsed/>
    <w:rsid w:val="00B412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3134</Characters>
  <Application>Microsoft Office Word</Application>
  <DocSecurity>0</DocSecurity>
  <Lines>142</Lines>
  <Paragraphs>88</Paragraphs>
  <ScaleCrop>false</ScaleCrop>
  <Company>Author-it Software Corporation Ltd.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DEFEXO121 Assess explosive firings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2024-11-07T11:42:00Z</dcterms:created>
  <dcterms:modified xsi:type="dcterms:W3CDTF">2024-11-07T11:42:00Z</dcterms:modified>
</cp:coreProperties>
</file>