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7C2E" w:rsidP="00567C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DEFEXO114 Develop explosive ordnance disposal techniques and render safe procedures</w:t>
      </w:r>
      <w:r>
        <w:fldChar w:fldCharType="end"/>
      </w:r>
    </w:p>
    <w:p w:rsidR="00567C2E" w:rsidP="00567C2E">
      <w:pPr>
        <w:pStyle w:val="Version"/>
        <w:sectPr w:rsidSect="00C456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45648" w:rsidP="00C45648">
      <w:pPr>
        <w:pStyle w:val="SuperHeading"/>
      </w:pPr>
      <w:r w:rsidRPr="00C45648">
        <w:t>DEFEXO114 Develop explosive ordnance disposal techniques and render safe procedures</w:t>
      </w:r>
    </w:p>
    <w:p w:rsidR="00000000" w:rsidRPr="00C45648" w:rsidP="00C45648">
      <w:pPr>
        <w:pStyle w:val="Heading1"/>
      </w:pPr>
      <w:bookmarkStart w:id="1" w:name="O_1283080"/>
      <w:bookmarkEnd w:id="1"/>
      <w:r w:rsidRPr="00C4564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8">
            <w:pPr>
              <w:pStyle w:val="BodyText"/>
              <w:rPr>
                <w:lang w:val="en-NZ"/>
              </w:rPr>
            </w:pPr>
            <w:r w:rsidRPr="00C45648">
              <w:t xml:space="preserve">Release 3. Assessment Conditions clarified in relation to simulation being an assessment option. </w:t>
            </w:r>
          </w:p>
        </w:tc>
      </w:tr>
      <w:tr w:rsidTr="00C4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8">
            <w:pPr>
              <w:pStyle w:val="BodyText"/>
              <w:rPr>
                <w:lang w:val="en-NZ"/>
              </w:rPr>
            </w:pPr>
            <w:r w:rsidRPr="00C45648">
              <w:t>Release 2. Modifications made to Foundation Skills and Assessment Conditions.</w:t>
            </w:r>
          </w:p>
        </w:tc>
      </w:tr>
      <w:tr w:rsidTr="00C4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48" w:rsidP="00C45648">
            <w:pPr>
              <w:pStyle w:val="BodyText"/>
            </w:pPr>
            <w:r w:rsidRPr="00C45648">
              <w:t>Release 1. This unit was released in DEF Defence Training Package release 1.0 and meets the Standards for Training Packages.</w:t>
            </w:r>
          </w:p>
          <w:p w:rsidR="00000000" w:rsidRPr="00C45648" w:rsidP="00C45648">
            <w:pPr>
              <w:pStyle w:val="BodyText"/>
            </w:pPr>
            <w:r w:rsidRPr="00C45648">
              <w:t xml:space="preserve">This unit supersedes and is equivalent to DEFEO900A </w:t>
            </w:r>
            <w:r w:rsidRPr="00C45648">
              <w:t>Develop explosive ordnance disposal techniques and render-safe procedures.</w:t>
            </w:r>
          </w:p>
          <w:p w:rsidR="00000000" w:rsidRPr="00C45648" w:rsidP="00C45648">
            <w:pPr>
              <w:pStyle w:val="ListBullet"/>
            </w:pPr>
            <w:r w:rsidRPr="00C45648">
              <w:t>Unit code updated</w:t>
            </w:r>
          </w:p>
          <w:p w:rsidR="00000000" w:rsidRPr="00C45648" w:rsidP="00C45648">
            <w:pPr>
              <w:pStyle w:val="ListBullet"/>
            </w:pPr>
            <w:r w:rsidRPr="00C45648">
              <w:t>Content and formatting updated to comply with the new standards</w:t>
            </w:r>
          </w:p>
          <w:p w:rsidR="00000000" w:rsidRPr="00C45648" w:rsidP="00C45648">
            <w:pPr>
              <w:pStyle w:val="ListBullet"/>
            </w:pPr>
            <w:r w:rsidRPr="00C45648">
              <w:t>All PC transitioned from passive to active voice</w:t>
            </w:r>
          </w:p>
        </w:tc>
      </w:tr>
    </w:tbl>
    <w:p w:rsidR="00567C2E" w:rsidP="00C45648">
      <w:pPr>
        <w:pStyle w:val="NoPaddingFontSize1"/>
      </w:pPr>
    </w:p>
    <w:p w:rsidR="00567C2E" w:rsidP="00C45648">
      <w:pPr>
        <w:pStyle w:val="NoPaddingFontSize1"/>
      </w:pPr>
    </w:p>
    <w:p w:rsidR="00000000" w:rsidRPr="00C45648" w:rsidP="00C45648">
      <w:pPr>
        <w:pStyle w:val="Heading1"/>
      </w:pPr>
      <w:bookmarkStart w:id="2" w:name="O_1283079"/>
      <w:bookmarkEnd w:id="2"/>
      <w:r w:rsidRPr="00C4564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48" w:rsidP="00C45648">
            <w:pPr>
              <w:pStyle w:val="BodyText"/>
            </w:pPr>
            <w:r w:rsidRPr="00C45648">
              <w:t>This unit describes the skills required to develop explosive ordnance disposal (EOD) techniques and render safe procedures (RSPs). The development of EOD techniques and RSPs is a process that would not normally be undertaken except in an operational enviro</w:t>
            </w:r>
            <w:r w:rsidRPr="00C45648">
              <w:t xml:space="preserve">nment where time was of essence and normal techniques were not feasible or possible. The development of explosive ordnance disposal techniques and RSPs is a process primarily in support of the civilian community/authority but may also be conducted under a </w:t>
            </w:r>
            <w:r w:rsidRPr="00C45648">
              <w:t>variety of conditions, including wartime and peacekeeping.</w:t>
            </w:r>
          </w:p>
          <w:p w:rsidR="00000000" w:rsidRPr="00C45648" w:rsidP="00C45648">
            <w:pPr>
              <w:pStyle w:val="BodyText"/>
            </w:pPr>
            <w:r w:rsidRPr="00C45648">
              <w:t>This unit applies to those required to develop explosive ordnance disposal techniques and RSPs as a consequence of an operational requirement.</w:t>
            </w:r>
          </w:p>
          <w:p w:rsidR="00000000" w:rsidRPr="00C45648" w:rsidP="00C45648">
            <w:pPr>
              <w:pStyle w:val="BodyText"/>
            </w:pPr>
            <w:r w:rsidRPr="00C45648">
              <w:t>The skills and knowledge described in this unit must b</w:t>
            </w:r>
            <w:r w:rsidRPr="00C45648">
              <w:t>e applied within the legislative, regulatory and policy environment in which they are carried out. Organisational policies and procedures must be consulted and adhered to.</w:t>
            </w:r>
          </w:p>
          <w:p w:rsidR="00000000" w:rsidRPr="00C45648" w:rsidP="00C45648">
            <w:pPr>
              <w:pStyle w:val="BodyText"/>
            </w:pPr>
            <w:r w:rsidRPr="00C45648">
              <w:t>Those undertaking this unit would work independently and as part of a team, under in</w:t>
            </w:r>
            <w:r w:rsidRPr="00C45648">
              <w:t>direct supervision, conducting complex tasks in a broad range of contexts that could be unpredictable.</w:t>
            </w:r>
          </w:p>
          <w:p w:rsidR="00000000" w:rsidRPr="00C45648" w:rsidP="00C45648">
            <w:pPr>
              <w:pStyle w:val="BodyText"/>
            </w:pPr>
            <w:r w:rsidRPr="00C45648">
              <w:t>No licensing, legislative or certification requirements apply to unit at the time of publication.</w:t>
            </w:r>
          </w:p>
        </w:tc>
      </w:tr>
    </w:tbl>
    <w:p w:rsidR="00567C2E" w:rsidP="00C45648">
      <w:pPr>
        <w:pStyle w:val="NoPaddingFontSize1"/>
      </w:pPr>
    </w:p>
    <w:p w:rsidR="00567C2E" w:rsidP="00C45648">
      <w:pPr>
        <w:pStyle w:val="NoPaddingFontSize1"/>
      </w:pPr>
    </w:p>
    <w:p w:rsidR="00000000" w:rsidRPr="00C45648" w:rsidP="00C45648">
      <w:pPr>
        <w:pStyle w:val="Heading1"/>
      </w:pPr>
      <w:bookmarkStart w:id="3" w:name="O_1283078"/>
      <w:bookmarkEnd w:id="3"/>
      <w:r w:rsidRPr="00C4564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48" w:rsidP="00C45648">
            <w:pPr>
              <w:pStyle w:val="BodyText"/>
            </w:pPr>
            <w:r w:rsidRPr="00C45648">
              <w:t>Not applicable</w:t>
            </w:r>
            <w:r w:rsidRPr="00C45648">
              <w:t>.</w:t>
            </w:r>
          </w:p>
        </w:tc>
      </w:tr>
    </w:tbl>
    <w:p w:rsidR="00567C2E" w:rsidP="00C45648">
      <w:pPr>
        <w:pStyle w:val="NoPaddingFontSize1"/>
      </w:pPr>
    </w:p>
    <w:p w:rsidR="00567C2E" w:rsidP="00C45648">
      <w:pPr>
        <w:pStyle w:val="NoPaddingFontSize1"/>
      </w:pPr>
    </w:p>
    <w:p w:rsidR="00000000" w:rsidRPr="00C45648" w:rsidP="00C45648">
      <w:pPr>
        <w:pStyle w:val="Heading1"/>
      </w:pPr>
      <w:bookmarkStart w:id="4" w:name="O_1283077"/>
      <w:bookmarkEnd w:id="4"/>
      <w:r w:rsidRPr="00C4564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48" w:rsidP="00C45648">
            <w:pPr>
              <w:pStyle w:val="BodyText"/>
            </w:pPr>
            <w:r w:rsidRPr="00C45648">
              <w:t>Explosive Ordnance</w:t>
            </w:r>
          </w:p>
        </w:tc>
      </w:tr>
    </w:tbl>
    <w:p w:rsidR="00567C2E" w:rsidP="00C45648">
      <w:pPr>
        <w:pStyle w:val="NoPaddingFontSize1"/>
      </w:pPr>
    </w:p>
    <w:p w:rsidR="00567C2E" w:rsidP="00C45648">
      <w:pPr>
        <w:pStyle w:val="NoPaddingFontSize1"/>
      </w:pPr>
    </w:p>
    <w:p w:rsidR="00000000" w:rsidRPr="00C45648" w:rsidP="00C45648">
      <w:pPr>
        <w:pStyle w:val="Heading1"/>
      </w:pPr>
      <w:bookmarkStart w:id="5" w:name="O_1283076"/>
      <w:bookmarkEnd w:id="5"/>
      <w:r w:rsidRPr="00C4564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48" w:rsidP="00C45648">
            <w:pPr>
              <w:pStyle w:val="BodyText"/>
            </w:pPr>
            <w:r w:rsidRPr="00C45648">
              <w:t>Not applicable.</w:t>
            </w:r>
          </w:p>
        </w:tc>
      </w:tr>
    </w:tbl>
    <w:p w:rsidR="00567C2E" w:rsidP="00C45648">
      <w:pPr>
        <w:pStyle w:val="NoPaddingFontSize1"/>
      </w:pPr>
    </w:p>
    <w:p w:rsidR="00567C2E" w:rsidP="00C45648">
      <w:pPr>
        <w:pStyle w:val="NoPaddingFontSize1"/>
      </w:pPr>
    </w:p>
    <w:p w:rsidR="00000000" w:rsidRPr="00C45648" w:rsidP="00C45648">
      <w:pPr>
        <w:pStyle w:val="Heading1"/>
      </w:pPr>
      <w:bookmarkStart w:id="6" w:name="O_1283075"/>
      <w:bookmarkEnd w:id="6"/>
      <w:r w:rsidRPr="00C4564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4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48" w:rsidP="00C45648">
            <w:pPr>
              <w:pStyle w:val="BodyText"/>
            </w:pPr>
            <w:r w:rsidRPr="00C4564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8">
            <w:pPr>
              <w:pStyle w:val="BodyText"/>
              <w:rPr>
                <w:lang w:val="en-NZ"/>
              </w:rPr>
            </w:pPr>
            <w:r w:rsidRPr="00C45648">
              <w:rPr>
                <w:rStyle w:val="SpecialBold"/>
              </w:rPr>
              <w:t>PERFORMANCE CRITERIA</w:t>
            </w:r>
          </w:p>
        </w:tc>
      </w:tr>
      <w:tr w:rsidTr="00C4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8">
            <w:pPr>
              <w:pStyle w:val="BodyText"/>
              <w:rPr>
                <w:lang w:val="en-NZ"/>
              </w:rPr>
            </w:pPr>
            <w:r w:rsidRPr="00C4564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8">
            <w:pPr>
              <w:pStyle w:val="BodyText"/>
              <w:rPr>
                <w:lang w:val="en-NZ"/>
              </w:rPr>
            </w:pPr>
            <w:r w:rsidRPr="00C45648">
              <w:t>Performance criteria describe the performance needed to demonstrate achievement of the element.</w:t>
            </w:r>
          </w:p>
        </w:tc>
      </w:tr>
      <w:tr w:rsidTr="00C4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48" w:rsidP="00C45648">
            <w:pPr>
              <w:pStyle w:val="BodyText"/>
            </w:pPr>
            <w:r w:rsidRPr="00C4564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48" w:rsidP="00C45648">
            <w:pPr>
              <w:pStyle w:val="BodyText"/>
            </w:pPr>
            <w:r w:rsidRPr="00C45648">
              <w:rPr>
                <w:rStyle w:val="SpecialBold"/>
              </w:rPr>
              <w:t>Locate, assess and identify explosive device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8">
            <w:pPr>
              <w:pStyle w:val="BodyText"/>
              <w:rPr>
                <w:lang w:val="en-NZ"/>
              </w:rPr>
            </w:pPr>
            <w:r w:rsidRPr="00C4564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8">
            <w:pPr>
              <w:pStyle w:val="BodyText"/>
              <w:rPr>
                <w:lang w:val="en-NZ"/>
              </w:rPr>
            </w:pPr>
            <w:r w:rsidRPr="00C45648">
              <w:t>Locate explosive device and identify its components</w:t>
            </w:r>
          </w:p>
        </w:tc>
      </w:tr>
      <w:tr w:rsidTr="00C4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8">
            <w:pPr>
              <w:pStyle w:val="BodyText"/>
              <w:rPr>
                <w:lang w:val="en-NZ"/>
              </w:rPr>
            </w:pPr>
            <w:r w:rsidRPr="00C4564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8">
            <w:pPr>
              <w:pStyle w:val="BodyText"/>
              <w:rPr>
                <w:lang w:val="en-NZ"/>
              </w:rPr>
            </w:pPr>
            <w:r w:rsidRPr="00C45648">
              <w:t>Identify and investigate explosive device construction</w:t>
            </w:r>
          </w:p>
        </w:tc>
      </w:tr>
      <w:tr w:rsidTr="00C4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8">
            <w:pPr>
              <w:pStyle w:val="BodyText"/>
              <w:rPr>
                <w:lang w:val="en-NZ"/>
              </w:rPr>
            </w:pPr>
            <w:r w:rsidRPr="00C4564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8">
            <w:pPr>
              <w:pStyle w:val="BodyText"/>
              <w:rPr>
                <w:lang w:val="en-NZ"/>
              </w:rPr>
            </w:pPr>
            <w:r w:rsidRPr="00C45648">
              <w:t>Advise controlling authority of safety and evacuation requirements</w:t>
            </w:r>
          </w:p>
        </w:tc>
      </w:tr>
      <w:tr w:rsidTr="00C4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8">
            <w:pPr>
              <w:pStyle w:val="BodyText"/>
              <w:rPr>
                <w:lang w:val="en-NZ"/>
              </w:rPr>
            </w:pPr>
            <w:r w:rsidRPr="00C4564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8">
            <w:pPr>
              <w:pStyle w:val="BodyText"/>
              <w:rPr>
                <w:lang w:val="en-NZ"/>
              </w:rPr>
            </w:pPr>
            <w:r w:rsidRPr="00C45648">
              <w:t>Confirm area security</w:t>
            </w:r>
          </w:p>
        </w:tc>
      </w:tr>
      <w:tr w:rsidTr="00C4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8">
            <w:pPr>
              <w:pStyle w:val="BodyText"/>
              <w:rPr>
                <w:lang w:val="en-NZ"/>
              </w:rPr>
            </w:pPr>
            <w:r w:rsidRPr="00C4564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8">
            <w:pPr>
              <w:pStyle w:val="BodyText"/>
              <w:rPr>
                <w:lang w:val="en-NZ"/>
              </w:rPr>
            </w:pPr>
            <w:r w:rsidRPr="00C45648">
              <w:t>Establish contact and liaison with other emergency ser</w:t>
            </w:r>
            <w:r w:rsidRPr="00C45648">
              <w:t>vices on arrival and maintain throughout</w:t>
            </w:r>
          </w:p>
        </w:tc>
      </w:tr>
      <w:tr w:rsidTr="00C4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8">
            <w:pPr>
              <w:pStyle w:val="BodyText"/>
              <w:rPr>
                <w:lang w:val="en-NZ"/>
              </w:rPr>
            </w:pPr>
            <w:r w:rsidRPr="00C4564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8">
            <w:pPr>
              <w:pStyle w:val="BodyText"/>
              <w:rPr>
                <w:lang w:val="en-NZ"/>
              </w:rPr>
            </w:pPr>
            <w:r w:rsidRPr="00C45648">
              <w:t>Seek specialist advice in accordance with assessment requirements</w:t>
            </w:r>
          </w:p>
        </w:tc>
      </w:tr>
      <w:tr w:rsidTr="00C4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48" w:rsidP="00C45648">
            <w:pPr>
              <w:pStyle w:val="BodyText"/>
            </w:pPr>
            <w:r w:rsidRPr="00C4564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48" w:rsidP="00C45648">
            <w:pPr>
              <w:pStyle w:val="BodyText"/>
            </w:pPr>
            <w:r w:rsidRPr="00C45648">
              <w:rPr>
                <w:rStyle w:val="SpecialBold"/>
              </w:rPr>
              <w:t>Determine RSP/dispose of explosive device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8">
            <w:pPr>
              <w:pStyle w:val="BodyText"/>
              <w:rPr>
                <w:lang w:val="en-NZ"/>
              </w:rPr>
            </w:pPr>
            <w:r w:rsidRPr="00C4564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8">
            <w:pPr>
              <w:pStyle w:val="BodyText"/>
              <w:rPr>
                <w:lang w:val="en-NZ"/>
              </w:rPr>
            </w:pPr>
            <w:r w:rsidRPr="00C45648">
              <w:t>Determine RSP /disposal method after considering situation</w:t>
            </w:r>
          </w:p>
        </w:tc>
      </w:tr>
      <w:tr w:rsidTr="00C4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8">
            <w:pPr>
              <w:pStyle w:val="BodyText"/>
              <w:rPr>
                <w:lang w:val="en-NZ"/>
              </w:rPr>
            </w:pPr>
            <w:r w:rsidRPr="00C4564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8">
            <w:pPr>
              <w:pStyle w:val="BodyText"/>
              <w:rPr>
                <w:lang w:val="en-NZ"/>
              </w:rPr>
            </w:pPr>
            <w:r w:rsidRPr="00C45648">
              <w:t>Identify and prepare for use equipment, tools and stores required to render safe/dispose of explosive device</w:t>
            </w:r>
          </w:p>
        </w:tc>
      </w:tr>
      <w:tr w:rsidTr="00C4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8">
            <w:pPr>
              <w:pStyle w:val="BodyText"/>
              <w:rPr>
                <w:lang w:val="en-NZ"/>
              </w:rPr>
            </w:pPr>
            <w:r w:rsidRPr="00C4564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8">
            <w:pPr>
              <w:pStyle w:val="BodyText"/>
              <w:rPr>
                <w:lang w:val="en-NZ"/>
              </w:rPr>
            </w:pPr>
            <w:r w:rsidRPr="00C45648">
              <w:t>Conduct RSP in accordance with developed process and recognised safety precautions</w:t>
            </w:r>
          </w:p>
        </w:tc>
      </w:tr>
      <w:tr w:rsidTr="00C4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8">
            <w:pPr>
              <w:pStyle w:val="BodyText"/>
              <w:rPr>
                <w:lang w:val="en-NZ"/>
              </w:rPr>
            </w:pPr>
            <w:r w:rsidRPr="00C4564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8">
            <w:pPr>
              <w:pStyle w:val="BodyText"/>
              <w:rPr>
                <w:lang w:val="en-NZ"/>
              </w:rPr>
            </w:pPr>
            <w:r w:rsidRPr="00C45648">
              <w:t>Operate equipment in accordance with current instructions</w:t>
            </w:r>
          </w:p>
        </w:tc>
      </w:tr>
      <w:tr w:rsidTr="00C4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8">
            <w:pPr>
              <w:pStyle w:val="BodyText"/>
              <w:rPr>
                <w:lang w:val="en-NZ"/>
              </w:rPr>
            </w:pPr>
            <w:r w:rsidRPr="00C4564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8">
            <w:pPr>
              <w:pStyle w:val="BodyText"/>
              <w:rPr>
                <w:lang w:val="en-NZ"/>
              </w:rPr>
            </w:pPr>
            <w:r w:rsidRPr="00C45648">
              <w:t>Inspect device and immediate area and declare them to be safe or plan alternate RSP/disposal operation</w:t>
            </w:r>
          </w:p>
        </w:tc>
      </w:tr>
      <w:tr w:rsidTr="00C4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48" w:rsidP="00C45648">
            <w:pPr>
              <w:pStyle w:val="BodyText"/>
            </w:pPr>
            <w:r w:rsidRPr="00C4564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48" w:rsidP="00C45648">
            <w:pPr>
              <w:pStyle w:val="BodyText"/>
            </w:pPr>
            <w:r w:rsidRPr="00C45648">
              <w:rPr>
                <w:rStyle w:val="SpecialBold"/>
              </w:rPr>
              <w:t>Finalise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8">
            <w:pPr>
              <w:pStyle w:val="BodyText"/>
              <w:rPr>
                <w:lang w:val="en-NZ"/>
              </w:rPr>
            </w:pPr>
            <w:r w:rsidRPr="00C4564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8">
            <w:pPr>
              <w:pStyle w:val="BodyText"/>
              <w:rPr>
                <w:lang w:val="en-NZ"/>
              </w:rPr>
            </w:pPr>
            <w:r w:rsidRPr="00C45648">
              <w:t>Document and distribute RSP/disposal method</w:t>
            </w:r>
          </w:p>
        </w:tc>
      </w:tr>
      <w:tr w:rsidTr="00C4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8">
            <w:pPr>
              <w:pStyle w:val="BodyText"/>
              <w:rPr>
                <w:lang w:val="en-NZ"/>
              </w:rPr>
            </w:pPr>
            <w:r w:rsidRPr="00C4564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8">
            <w:pPr>
              <w:pStyle w:val="BodyText"/>
              <w:rPr>
                <w:lang w:val="en-NZ"/>
              </w:rPr>
            </w:pPr>
            <w:r w:rsidRPr="00C45648">
              <w:t>Recover, refurbish and secure equipment</w:t>
            </w:r>
          </w:p>
        </w:tc>
      </w:tr>
      <w:tr w:rsidTr="00C4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8">
            <w:pPr>
              <w:pStyle w:val="BodyText"/>
              <w:rPr>
                <w:lang w:val="en-NZ"/>
              </w:rPr>
            </w:pPr>
            <w:r w:rsidRPr="00C4564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8">
            <w:pPr>
              <w:pStyle w:val="BodyText"/>
              <w:rPr>
                <w:lang w:val="en-NZ"/>
              </w:rPr>
            </w:pPr>
            <w:r w:rsidRPr="00C45648">
              <w:t>Conduct post-explosive device disposal clearance</w:t>
            </w:r>
          </w:p>
        </w:tc>
      </w:tr>
      <w:tr w:rsidTr="00C4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8">
            <w:pPr>
              <w:pStyle w:val="BodyText"/>
              <w:rPr>
                <w:lang w:val="en-NZ"/>
              </w:rPr>
            </w:pPr>
            <w:r w:rsidRPr="00C4564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8">
            <w:pPr>
              <w:pStyle w:val="BodyText"/>
              <w:rPr>
                <w:lang w:val="en-NZ"/>
              </w:rPr>
            </w:pPr>
            <w:r w:rsidRPr="00C45648">
              <w:t>Complete and process explosive device disposal reports</w:t>
            </w:r>
          </w:p>
        </w:tc>
      </w:tr>
      <w:tr w:rsidTr="00C4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8">
            <w:pPr>
              <w:pStyle w:val="BodyText"/>
              <w:rPr>
                <w:lang w:val="en-NZ"/>
              </w:rPr>
            </w:pPr>
            <w:r w:rsidRPr="00C4564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48" w:rsidP="00C45648">
            <w:pPr>
              <w:pStyle w:val="BodyText"/>
            </w:pPr>
            <w:r w:rsidRPr="00C45648">
              <w:t>Provide technical evidence to inquiries/courts as required</w:t>
            </w:r>
          </w:p>
        </w:tc>
      </w:tr>
    </w:tbl>
    <w:p w:rsidR="00567C2E" w:rsidP="00C45648">
      <w:pPr>
        <w:pStyle w:val="NoPaddingFontSize1"/>
      </w:pPr>
    </w:p>
    <w:p w:rsidR="00567C2E" w:rsidP="00C45648">
      <w:pPr>
        <w:pStyle w:val="NoPaddingFontSize1"/>
      </w:pPr>
    </w:p>
    <w:p w:rsidR="00000000" w:rsidRPr="00C45648" w:rsidP="00C45648">
      <w:pPr>
        <w:pStyle w:val="Heading1"/>
      </w:pPr>
      <w:bookmarkStart w:id="7" w:name="O_1283074"/>
      <w:bookmarkEnd w:id="7"/>
      <w:r w:rsidRPr="00C4564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48" w:rsidP="00C45648">
            <w:pPr>
              <w:pStyle w:val="BodyText"/>
            </w:pPr>
            <w:r w:rsidRPr="00C45648">
              <w:t>Foundation skills essential to performance are explicit in the performance criteria of this unit of competency.</w:t>
            </w:r>
          </w:p>
        </w:tc>
      </w:tr>
    </w:tbl>
    <w:p w:rsidR="00567C2E" w:rsidP="00C45648">
      <w:pPr>
        <w:pStyle w:val="NoPaddingFontSize1"/>
      </w:pPr>
    </w:p>
    <w:p w:rsidR="00567C2E" w:rsidP="00C45648">
      <w:pPr>
        <w:pStyle w:val="NoPaddingFontSize1"/>
      </w:pPr>
    </w:p>
    <w:p w:rsidR="00000000" w:rsidRPr="00C45648" w:rsidP="00C45648">
      <w:pPr>
        <w:pStyle w:val="Heading1"/>
      </w:pPr>
      <w:bookmarkStart w:id="8" w:name="O_1283073"/>
      <w:bookmarkEnd w:id="8"/>
      <w:r w:rsidRPr="00C4564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48" w:rsidP="00C45648">
            <w:pPr>
              <w:pStyle w:val="BodyText"/>
            </w:pPr>
            <w:r w:rsidRPr="00C45648">
              <w:t>Range is restricted to essential operating conditions and any other variables essent</w:t>
            </w:r>
            <w:r w:rsidRPr="00C45648">
              <w:t>ial to the work environment.</w:t>
            </w:r>
          </w:p>
          <w:p w:rsidR="00000000" w:rsidRPr="00C45648" w:rsidP="00C45648">
            <w:pPr>
              <w:pStyle w:val="BodyText"/>
            </w:pPr>
            <w:r w:rsidRPr="00C45648">
              <w:t>Non-essential conditions may be found in the Companion Volume Implementation Guide.</w:t>
            </w:r>
          </w:p>
        </w:tc>
      </w:tr>
    </w:tbl>
    <w:p w:rsidR="00567C2E" w:rsidP="00C45648">
      <w:pPr>
        <w:pStyle w:val="NoPaddingFontSize1"/>
      </w:pPr>
    </w:p>
    <w:p w:rsidR="00567C2E" w:rsidP="00C45648">
      <w:pPr>
        <w:pStyle w:val="NoPaddingFontSize1"/>
      </w:pPr>
    </w:p>
    <w:p w:rsidR="00000000" w:rsidRPr="00C45648" w:rsidP="00C45648">
      <w:pPr>
        <w:pStyle w:val="Heading1"/>
      </w:pPr>
      <w:bookmarkStart w:id="9" w:name="O_1283072"/>
      <w:bookmarkEnd w:id="9"/>
      <w:r w:rsidRPr="00C4564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48" w:rsidP="00C45648">
            <w:pPr>
              <w:pStyle w:val="BodyText"/>
            </w:pPr>
            <w:r w:rsidRPr="00C45648">
              <w:t>This unit supersedes and is equivalent to DEFEO900A Develop explosive ordnance disposal techniques and render-safe procedures.</w:t>
            </w:r>
          </w:p>
        </w:tc>
      </w:tr>
    </w:tbl>
    <w:p w:rsidR="00567C2E" w:rsidP="00C45648">
      <w:pPr>
        <w:pStyle w:val="NoPaddingFontSize1"/>
      </w:pPr>
    </w:p>
    <w:p w:rsidR="00567C2E" w:rsidP="00C45648">
      <w:pPr>
        <w:pStyle w:val="NoPaddingFontSize1"/>
      </w:pPr>
    </w:p>
    <w:p w:rsidR="00000000" w:rsidRPr="00C45648" w:rsidP="00C45648">
      <w:pPr>
        <w:pStyle w:val="Heading1"/>
      </w:pPr>
      <w:bookmarkStart w:id="10" w:name="O_1284193"/>
      <w:bookmarkEnd w:id="10"/>
      <w:r w:rsidRPr="00C45648">
        <w:t>Links</w:t>
      </w:r>
    </w:p>
    <w:p w:rsidR="00000000" w:rsidRPr="00C45648" w:rsidP="00567C2E">
      <w:pPr>
        <w:pStyle w:val="BodyText"/>
      </w:pPr>
      <w:r w:rsidRPr="00C456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D3A2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45648" w:rsidP="00C45648"/>
    <w:sectPr w:rsidSect="00C456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6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648" w:rsidRPr="00567C2E" w:rsidP="00567C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6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C2E" w:rsidP="00C456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7C2E" w:rsidP="00C456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67C2E" w:rsidP="00C456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6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C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5648" w:rsidRPr="00567C2E" w:rsidP="00567C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6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C2E" w:rsidRPr="002D2AF8" w:rsidP="00C456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DEFEXO114 Develop explosive ordnance disposal techniques and render safe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567C2E" w:rsidP="00C456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C05E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D865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6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56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56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56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56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56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56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56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56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56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56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5648"/>
  </w:style>
  <w:style w:type="character" w:customStyle="1" w:styleId="Heading1Char">
    <w:name w:val="Heading 1 Char"/>
    <w:basedOn w:val="DefaultParagraphFont"/>
    <w:link w:val="Heading1"/>
    <w:rsid w:val="00C456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56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56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56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5648"/>
    <w:rPr>
      <w:b/>
      <w:spacing w:val="0"/>
    </w:rPr>
  </w:style>
  <w:style w:type="paragraph" w:customStyle="1" w:styleId="SuperHeading">
    <w:name w:val="SuperHeading"/>
    <w:basedOn w:val="Normal"/>
    <w:rsid w:val="00C456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56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456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56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56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56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56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56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56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56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56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56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56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56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56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56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56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56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56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56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56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56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56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56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56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56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56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56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56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56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56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56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56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56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56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5648"/>
    <w:rPr>
      <w:i/>
    </w:rPr>
  </w:style>
  <w:style w:type="paragraph" w:styleId="Caption">
    <w:name w:val="caption"/>
    <w:basedOn w:val="BodyText"/>
    <w:next w:val="Normal"/>
    <w:qFormat/>
    <w:rsid w:val="00C456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56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56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5648"/>
  </w:style>
  <w:style w:type="paragraph" w:styleId="TableofFigures">
    <w:name w:val="table of figures"/>
    <w:basedOn w:val="Normal"/>
    <w:next w:val="Normal"/>
    <w:semiHidden/>
    <w:rsid w:val="00C456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56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5648"/>
    <w:rPr>
      <w:rFonts w:ascii="Wingdings" w:hAnsi="Wingdings"/>
    </w:rPr>
  </w:style>
  <w:style w:type="paragraph" w:customStyle="1" w:styleId="TableHeading">
    <w:name w:val="Table Heading"/>
    <w:basedOn w:val="HeadingBase"/>
    <w:rsid w:val="00C456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5648"/>
    <w:rPr>
      <w:color w:val="0033CC"/>
      <w:u w:val="none"/>
    </w:rPr>
  </w:style>
  <w:style w:type="paragraph" w:customStyle="1" w:styleId="BodyTextRight">
    <w:name w:val="Body Text Right"/>
    <w:basedOn w:val="BodyText"/>
    <w:rsid w:val="00C456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56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56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56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56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56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5648"/>
    <w:rPr>
      <w:sz w:val="32"/>
    </w:rPr>
  </w:style>
  <w:style w:type="paragraph" w:customStyle="1" w:styleId="HeadingProcedure">
    <w:name w:val="Heading Procedure"/>
    <w:basedOn w:val="HeadingBase"/>
    <w:next w:val="Normal"/>
    <w:rsid w:val="00C456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5648"/>
    <w:pPr>
      <w:spacing w:before="60" w:after="60"/>
    </w:pPr>
  </w:style>
  <w:style w:type="paragraph" w:styleId="ListContinue">
    <w:name w:val="List Continue"/>
    <w:basedOn w:val="List"/>
    <w:rsid w:val="00C45648"/>
    <w:pPr>
      <w:ind w:firstLine="0"/>
    </w:pPr>
  </w:style>
  <w:style w:type="paragraph" w:customStyle="1" w:styleId="ListNote">
    <w:name w:val="List Note"/>
    <w:basedOn w:val="List"/>
    <w:rsid w:val="00C456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56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56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5648"/>
    <w:rPr>
      <w:rFonts w:ascii="Courier New" w:hAnsi="Courier New"/>
    </w:rPr>
  </w:style>
  <w:style w:type="paragraph" w:customStyle="1" w:styleId="NoteBullet">
    <w:name w:val="Note Bullet"/>
    <w:basedOn w:val="Note"/>
    <w:rsid w:val="00C456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56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56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56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56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56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56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5648"/>
    <w:rPr>
      <w:b/>
      <w:smallCaps/>
    </w:rPr>
  </w:style>
  <w:style w:type="paragraph" w:customStyle="1" w:styleId="TableListNumber">
    <w:name w:val="Table List Number"/>
    <w:basedOn w:val="ListNumber"/>
    <w:rsid w:val="00C456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56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5648"/>
    <w:pPr>
      <w:numPr>
        <w:numId w:val="8"/>
      </w:numPr>
    </w:pPr>
  </w:style>
  <w:style w:type="paragraph" w:customStyle="1" w:styleId="ListAlpha2">
    <w:name w:val="List Alpha 2"/>
    <w:basedOn w:val="List2"/>
    <w:rsid w:val="00C45648"/>
    <w:pPr>
      <w:numPr>
        <w:numId w:val="7"/>
      </w:numPr>
    </w:pPr>
  </w:style>
  <w:style w:type="paragraph" w:styleId="List2">
    <w:name w:val="List 2"/>
    <w:basedOn w:val="BodyText"/>
    <w:rsid w:val="00C456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56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56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56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56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56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5648"/>
    <w:pPr>
      <w:numPr>
        <w:numId w:val="3"/>
      </w:numPr>
    </w:pPr>
  </w:style>
  <w:style w:type="paragraph" w:styleId="ListContinue2">
    <w:name w:val="List Continue 2"/>
    <w:basedOn w:val="List2"/>
    <w:rsid w:val="00C45648"/>
    <w:pPr>
      <w:ind w:firstLine="0"/>
    </w:pPr>
  </w:style>
  <w:style w:type="paragraph" w:styleId="ListContinue3">
    <w:name w:val="List Continue 3"/>
    <w:basedOn w:val="List3"/>
    <w:rsid w:val="00C45648"/>
    <w:pPr>
      <w:ind w:left="1021" w:firstLine="0"/>
    </w:pPr>
  </w:style>
  <w:style w:type="paragraph" w:styleId="ListContinue4">
    <w:name w:val="List Continue 4"/>
    <w:basedOn w:val="List4"/>
    <w:rsid w:val="00C45648"/>
    <w:pPr>
      <w:ind w:firstLine="0"/>
    </w:pPr>
  </w:style>
  <w:style w:type="paragraph" w:styleId="ListContinue5">
    <w:name w:val="List Continue 5"/>
    <w:basedOn w:val="List5"/>
    <w:rsid w:val="00C45648"/>
    <w:pPr>
      <w:ind w:firstLine="0"/>
    </w:pPr>
  </w:style>
  <w:style w:type="paragraph" w:styleId="ListNumber3">
    <w:name w:val="List Number 3"/>
    <w:basedOn w:val="List3"/>
    <w:rsid w:val="00C45648"/>
    <w:pPr>
      <w:numPr>
        <w:numId w:val="4"/>
      </w:numPr>
    </w:pPr>
  </w:style>
  <w:style w:type="paragraph" w:styleId="ListNumber4">
    <w:name w:val="List Number 4"/>
    <w:basedOn w:val="List4"/>
    <w:rsid w:val="00C45648"/>
    <w:pPr>
      <w:numPr>
        <w:numId w:val="5"/>
      </w:numPr>
    </w:pPr>
  </w:style>
  <w:style w:type="paragraph" w:styleId="ListNumber5">
    <w:name w:val="List Number 5"/>
    <w:basedOn w:val="List5"/>
    <w:rsid w:val="00C45648"/>
    <w:pPr>
      <w:numPr>
        <w:numId w:val="6"/>
      </w:numPr>
    </w:pPr>
  </w:style>
  <w:style w:type="paragraph" w:styleId="BlockText">
    <w:name w:val="Block Text"/>
    <w:basedOn w:val="Normal"/>
    <w:rsid w:val="00C456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56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5648"/>
    <w:rPr>
      <w:sz w:val="16"/>
      <w:vertAlign w:val="superscript"/>
    </w:rPr>
  </w:style>
  <w:style w:type="character" w:customStyle="1" w:styleId="Symbols">
    <w:name w:val="Symbols"/>
    <w:basedOn w:val="DefaultParagraphFont"/>
    <w:rsid w:val="00C45648"/>
    <w:rPr>
      <w:rFonts w:ascii="Symbol" w:hAnsi="Symbol"/>
    </w:rPr>
  </w:style>
  <w:style w:type="character" w:customStyle="1" w:styleId="MenuOptions">
    <w:name w:val="Menu Options"/>
    <w:basedOn w:val="DefaultParagraphFont"/>
    <w:rsid w:val="00C456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5648"/>
    <w:rPr>
      <w:b/>
    </w:rPr>
  </w:style>
  <w:style w:type="character" w:customStyle="1" w:styleId="Underlined">
    <w:name w:val="Underlined"/>
    <w:basedOn w:val="DefaultParagraphFont"/>
    <w:rsid w:val="00C45648"/>
    <w:rPr>
      <w:u w:val="single"/>
    </w:rPr>
  </w:style>
  <w:style w:type="paragraph" w:customStyle="1" w:styleId="TableBodyTextRight">
    <w:name w:val="Table Body Text Right"/>
    <w:basedOn w:val="TableBodyText"/>
    <w:rsid w:val="00C456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5648"/>
    <w:rPr>
      <w:sz w:val="18"/>
    </w:rPr>
  </w:style>
  <w:style w:type="paragraph" w:customStyle="1" w:styleId="BodySmallRight">
    <w:name w:val="Body Small Right"/>
    <w:basedOn w:val="BodyTextRight"/>
    <w:rsid w:val="00C45648"/>
    <w:rPr>
      <w:sz w:val="18"/>
      <w:szCs w:val="18"/>
    </w:rPr>
  </w:style>
  <w:style w:type="paragraph" w:customStyle="1" w:styleId="MarginEdition">
    <w:name w:val="Margin Edition"/>
    <w:basedOn w:val="MarginNote"/>
    <w:rsid w:val="00C456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5648"/>
    <w:rPr>
      <w:sz w:val="2"/>
      <w:szCs w:val="2"/>
    </w:rPr>
  </w:style>
  <w:style w:type="character" w:customStyle="1" w:styleId="Small">
    <w:name w:val="Small"/>
    <w:basedOn w:val="DefaultParagraphFont"/>
    <w:rsid w:val="00C45648"/>
    <w:rPr>
      <w:sz w:val="16"/>
    </w:rPr>
  </w:style>
  <w:style w:type="paragraph" w:customStyle="1" w:styleId="WideTable">
    <w:name w:val="Wide Table"/>
    <w:basedOn w:val="Normal"/>
    <w:rsid w:val="00C456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5648"/>
  </w:style>
  <w:style w:type="paragraph" w:styleId="Quote">
    <w:name w:val="Quote"/>
    <w:basedOn w:val="Heading1"/>
    <w:link w:val="QuoteChar"/>
    <w:qFormat/>
    <w:rsid w:val="00C456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56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5648"/>
    <w:pPr>
      <w:pageBreakBefore/>
    </w:pPr>
  </w:style>
  <w:style w:type="paragraph" w:customStyle="1" w:styleId="Border">
    <w:name w:val="Border"/>
    <w:basedOn w:val="Normal"/>
    <w:qFormat/>
    <w:rsid w:val="00C456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56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6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6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56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56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56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56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56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5648"/>
    <w:rPr>
      <w:u w:val="single"/>
    </w:rPr>
  </w:style>
  <w:style w:type="character" w:customStyle="1" w:styleId="BoldandItalics">
    <w:name w:val="Bold and Italics"/>
    <w:qFormat/>
    <w:rsid w:val="00C45648"/>
    <w:rPr>
      <w:b/>
      <w:i/>
      <w:u w:val="none"/>
    </w:rPr>
  </w:style>
  <w:style w:type="paragraph" w:styleId="BalloonText">
    <w:name w:val="Balloon Text"/>
    <w:basedOn w:val="Normal"/>
    <w:link w:val="BalloonTextChar"/>
    <w:rsid w:val="00C456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56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56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56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56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56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5648"/>
    <w:pPr>
      <w:spacing w:before="0" w:after="0"/>
    </w:pPr>
  </w:style>
  <w:style w:type="paragraph" w:customStyle="1" w:styleId="BodyTextBold">
    <w:name w:val="Body Text Bold"/>
    <w:basedOn w:val="BodyText"/>
    <w:qFormat/>
    <w:rsid w:val="00C45648"/>
    <w:rPr>
      <w:b/>
    </w:rPr>
  </w:style>
  <w:style w:type="character" w:styleId="Hyperlink">
    <w:name w:val="Hyperlink"/>
    <w:basedOn w:val="DefaultParagraphFont"/>
    <w:uiPriority w:val="99"/>
    <w:unhideWhenUsed/>
    <w:rsid w:val="00567C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598</Words>
  <Characters>3787</Characters>
  <Application>Microsoft Office Word</Application>
  <DocSecurity>0</DocSecurity>
  <Lines>164</Lines>
  <Paragraphs>91</Paragraphs>
  <ScaleCrop>false</ScaleCrop>
  <Company>Author-it Software Corporation Ltd.</Company>
  <LinksUpToDate>false</LinksUpToDate>
  <CharactersWithSpaces>4294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DEFEXO114 Develop explosive ordnance disposal techniques and render safe procedures</dc:title>
  <dc:subject>Approved</dc:subject>
  <dc:creator>Public Skills Australia</dc:creator>
  <cp:keywords>Release: 3</cp:keywords>
  <dc:description>Review Date: 12 April 2008</dc:description>
  <cp:lastModifiedBy>HSD_TPCMSd.prod</cp:lastModifiedBy>
  <cp:revision>3</cp:revision>
  <dcterms:created xsi:type="dcterms:W3CDTF">2024-11-07T12:09:00Z</dcterms:created>
  <dcterms:modified xsi:type="dcterms:W3CDTF">2024-11-07T12:09:00Z</dcterms:modified>
</cp:coreProperties>
</file>