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2BC" w:rsidP="00DB2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DEFEXO114 Develop explosive ordnance disposal techniques and render safe procedures</w:t>
      </w:r>
      <w:r>
        <w:fldChar w:fldCharType="end"/>
      </w:r>
    </w:p>
    <w:p w:rsidR="00DB22BC" w:rsidP="00DB22BC">
      <w:pPr>
        <w:pStyle w:val="Version"/>
        <w:sectPr w:rsidSect="00AF2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F2D0B" w:rsidP="00AF2D0B">
      <w:pPr>
        <w:pStyle w:val="SuperHeading"/>
      </w:pPr>
      <w:r w:rsidRPr="00AF2D0B">
        <w:t>DEFEXO114 Develop explosive ordnance disposal techniques and render safe procedures</w:t>
      </w:r>
    </w:p>
    <w:p w:rsidR="00000000" w:rsidRPr="00AF2D0B" w:rsidP="00AF2D0B">
      <w:pPr>
        <w:pStyle w:val="Heading1"/>
      </w:pPr>
      <w:bookmarkStart w:id="1" w:name="O_1283080"/>
      <w:bookmarkEnd w:id="1"/>
      <w:r w:rsidRPr="00AF2D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 xml:space="preserve">Release 3. Assessment Conditions clarified in relation to simulation being an assessment option. 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Release 2. Modifications made to Foundation Skills and Assessment Conditions.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Release 1. This unit was released in DEF Defence Training Package release 1.0 and meets the Standards for Training Packages.</w:t>
            </w:r>
          </w:p>
          <w:p w:rsidR="00000000" w:rsidRPr="00AF2D0B" w:rsidP="00AF2D0B">
            <w:pPr>
              <w:pStyle w:val="BodyText"/>
            </w:pPr>
            <w:r w:rsidRPr="00AF2D0B">
              <w:t xml:space="preserve">This unit supersedes and is equivalent to DEFEO900A </w:t>
            </w:r>
            <w:r w:rsidRPr="00AF2D0B">
              <w:t>Develop explosive ordnance disposal techniques and render-safe procedures.</w:t>
            </w:r>
          </w:p>
          <w:p w:rsidR="00000000" w:rsidRPr="00AF2D0B" w:rsidP="00AF2D0B">
            <w:pPr>
              <w:pStyle w:val="ListBullet"/>
            </w:pPr>
            <w:r w:rsidRPr="00AF2D0B">
              <w:t>Unit code updated</w:t>
            </w:r>
          </w:p>
          <w:p w:rsidR="00000000" w:rsidRPr="00AF2D0B" w:rsidP="00AF2D0B">
            <w:pPr>
              <w:pStyle w:val="ListBullet"/>
            </w:pPr>
            <w:r w:rsidRPr="00AF2D0B">
              <w:t>Content and formatting updated to comply with the new standards</w:t>
            </w:r>
          </w:p>
          <w:p w:rsidR="00000000" w:rsidRPr="00AF2D0B" w:rsidP="00AF2D0B">
            <w:pPr>
              <w:pStyle w:val="ListBullet"/>
            </w:pPr>
            <w:r w:rsidRPr="00AF2D0B">
              <w:t>All PC transitioned from passive to active voice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2" w:name="O_1283079"/>
      <w:bookmarkEnd w:id="2"/>
      <w:r w:rsidRPr="00AF2D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This unit describes the skills required to develop explosive ordnance disposal (EOD) techniques and render safe procedures (RSPs). The development of EOD techniques and RSPs is a process that would not normally be undertaken except in an operational enviro</w:t>
            </w:r>
            <w:r w:rsidRPr="00AF2D0B">
              <w:t xml:space="preserve">nment where time was of essence and normal techniques were not feasible or possible. The development of explosive ordnance disposal techniques and RSPs is a process primarily in support of the civilian community/authority but may also be conducted under a </w:t>
            </w:r>
            <w:r w:rsidRPr="00AF2D0B">
              <w:t>variety of conditions, including wartime and peacekeeping.</w:t>
            </w:r>
          </w:p>
          <w:p w:rsidR="00000000" w:rsidRPr="00AF2D0B" w:rsidP="00AF2D0B">
            <w:pPr>
              <w:pStyle w:val="BodyText"/>
            </w:pPr>
            <w:r w:rsidRPr="00AF2D0B">
              <w:t>This unit applies to those required to develop explosive ordnance disposal techniques and RSPs as a consequence of an operational requirement.</w:t>
            </w:r>
          </w:p>
          <w:p w:rsidR="00000000" w:rsidRPr="00AF2D0B" w:rsidP="00AF2D0B">
            <w:pPr>
              <w:pStyle w:val="BodyText"/>
            </w:pPr>
            <w:r w:rsidRPr="00AF2D0B">
              <w:t>The skills and knowledge described in this unit must b</w:t>
            </w:r>
            <w:r w:rsidRPr="00AF2D0B">
              <w:t>e applied within the legislative, regulatory and policy environment in which they are carried out. Organisational policies and procedures must be consulted and adhered to.</w:t>
            </w:r>
          </w:p>
          <w:p w:rsidR="00000000" w:rsidRPr="00AF2D0B" w:rsidP="00AF2D0B">
            <w:pPr>
              <w:pStyle w:val="BodyText"/>
            </w:pPr>
            <w:r w:rsidRPr="00AF2D0B">
              <w:t>Those undertaking this unit would work independently and as part of a team, under in</w:t>
            </w:r>
            <w:r w:rsidRPr="00AF2D0B">
              <w:t>direct supervision, conducting complex tasks in a broad range of contexts that could be unpredictable.</w:t>
            </w:r>
          </w:p>
          <w:p w:rsidR="00000000" w:rsidRPr="00AF2D0B" w:rsidP="00AF2D0B">
            <w:pPr>
              <w:pStyle w:val="BodyText"/>
            </w:pPr>
            <w:r w:rsidRPr="00AF2D0B">
              <w:t>No licensing, legislative or certification requirements apply to unit at the time of publication.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3" w:name="O_1283078"/>
      <w:bookmarkEnd w:id="3"/>
      <w:r w:rsidRPr="00AF2D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Not applicable</w:t>
            </w:r>
            <w:r w:rsidRPr="00AF2D0B">
              <w:t>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4" w:name="O_1283077"/>
      <w:bookmarkEnd w:id="4"/>
      <w:r w:rsidRPr="00AF2D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Explosive Ordnance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5" w:name="O_1283076"/>
      <w:bookmarkEnd w:id="5"/>
      <w:r w:rsidRPr="00AF2D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Not applicable.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6" w:name="O_1283075"/>
      <w:bookmarkEnd w:id="6"/>
      <w:r w:rsidRPr="00AF2D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PERFORMANCE CRITERIA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Performance criteria describe the performance needed to demonstrate achievement of the element.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Locate, assess and identify explosive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Locate explosive device and identify its components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Identify and investigate explosive device const</w:t>
            </w:r>
            <w:r w:rsidRPr="00AF2D0B">
              <w:t>ruction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Advise controlling authority of safety and evacuation requirements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Confirm area security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Establish contact and liaison with other emergency services on arrival and maintain throughout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Seek specialist advice in accordance with assessment requirements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Determine RSP/dispose of explosive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Determine RSP /disposal method after considering situation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Identify and prepare for use equipment, tools and stores required to render safe/dispose of explosive device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Conduct RSP in accordance with developed process and recognised safety precautions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Operate equipment in accordance with current instructions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Inspect device and immediate area and declare them to be safe or plan alternate RSP/disposal operation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rPr>
                <w:rStyle w:val="SpecialBold"/>
              </w:rPr>
              <w:t>Finalise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Document and distribute RSP/disposal method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Recover, refurbish and secure equipment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Conduct post-explosive device disposal clearance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Complete and process explosive device disposal reports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Provide technical evidence to inquiries/courts as required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7" w:name="O_1283074"/>
      <w:bookmarkEnd w:id="7"/>
      <w:r w:rsidRPr="00AF2D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Foundation skills essential to performance are explicit in the performance criteria of this unit of competency.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8" w:name="O_1283073"/>
      <w:bookmarkEnd w:id="8"/>
      <w:r w:rsidRPr="00AF2D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Range is restricted to essential operating conditions and any other variables essent</w:t>
            </w:r>
            <w:r w:rsidRPr="00AF2D0B">
              <w:t>ial to the work environment.</w:t>
            </w:r>
          </w:p>
          <w:p w:rsidR="00000000" w:rsidRPr="00AF2D0B" w:rsidP="00AF2D0B">
            <w:pPr>
              <w:pStyle w:val="BodyText"/>
            </w:pPr>
            <w:r w:rsidRPr="00AF2D0B">
              <w:t>Non-essential conditions may be found in the Companion Volume Implementation Guide.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9" w:name="O_1283072"/>
      <w:bookmarkEnd w:id="9"/>
      <w:r w:rsidRPr="00AF2D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This unit supersedes and is equivalent to DEFEO900A Develop explosive ordnance disposal techniques and render-safe procedures.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10" w:name="O_1284193"/>
      <w:bookmarkEnd w:id="10"/>
      <w:r w:rsidRPr="00AF2D0B">
        <w:t>Links</w:t>
      </w:r>
    </w:p>
    <w:p w:rsidR="00000000" w:rsidRPr="00AF2D0B" w:rsidP="00DB22BC">
      <w:pPr>
        <w:pStyle w:val="BodyText"/>
      </w:pPr>
      <w:r w:rsidRPr="00AF2D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025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2D0B" w:rsidP="00DB22BC">
      <w:pPr>
        <w:pStyle w:val="BodyText"/>
        <w:sectPr w:rsidSect="00AF2D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D0B" w:rsidP="00AF2D0B">
      <w:pPr>
        <w:pStyle w:val="SuperHeading"/>
      </w:pPr>
      <w:r w:rsidRPr="00AF2D0B">
        <w:t>Assessment Requirements for DEFEXO114 Develop explosive ordnance disposal techniques and render safe procedures</w:t>
      </w:r>
    </w:p>
    <w:p w:rsidR="00000000" w:rsidRPr="00AF2D0B" w:rsidP="00AF2D0B">
      <w:pPr>
        <w:pStyle w:val="Heading1"/>
      </w:pPr>
      <w:bookmarkStart w:id="11" w:name="O_1283070"/>
      <w:bookmarkEnd w:id="11"/>
      <w:r w:rsidRPr="00AF2D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Release 3. As</w:t>
            </w:r>
            <w:r w:rsidRPr="00AF2D0B">
              <w:t xml:space="preserve">sessment Conditions clarified in relation to simulation being an assessment option. 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Release 2. Modifications made to Foundation Skills and Assessment Conditions.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Release 1. This unit was released in DEF Defence Training Package release 1.0 and meets the Standards for Training Packages.</w:t>
            </w:r>
          </w:p>
          <w:p w:rsidR="00000000" w:rsidRPr="00AF2D0B" w:rsidP="00AF2D0B">
            <w:pPr>
              <w:pStyle w:val="BodyText"/>
            </w:pPr>
            <w:r w:rsidRPr="00AF2D0B">
              <w:t>This unit supersedes and is equivalent to DEFEO900A Develop explosive ordnance disposal techniques and render-safe procedures.</w:t>
            </w:r>
          </w:p>
          <w:p w:rsidR="00000000" w:rsidRPr="00AF2D0B" w:rsidP="00AF2D0B">
            <w:pPr>
              <w:pStyle w:val="ListBullet"/>
            </w:pPr>
            <w:r w:rsidRPr="00AF2D0B">
              <w:t>Uni</w:t>
            </w:r>
            <w:r w:rsidRPr="00AF2D0B">
              <w:t>t code updated</w:t>
            </w:r>
          </w:p>
          <w:p w:rsidR="00000000" w:rsidRPr="00AF2D0B" w:rsidP="00AF2D0B">
            <w:pPr>
              <w:pStyle w:val="ListBullet"/>
            </w:pPr>
            <w:r w:rsidRPr="00AF2D0B">
              <w:t>Content and formatting updated to comply with the new standards</w:t>
            </w:r>
          </w:p>
          <w:p w:rsidR="00000000" w:rsidRPr="00AF2D0B" w:rsidP="00AF2D0B">
            <w:pPr>
              <w:pStyle w:val="ListBullet"/>
            </w:pPr>
            <w:r w:rsidRPr="00AF2D0B">
              <w:t>All PC transitioned from passive to active voice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12" w:name="O_1283069"/>
      <w:bookmarkEnd w:id="12"/>
      <w:r w:rsidRPr="00AF2D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 xml:space="preserve">Evidence required to demonstrate competence in this unit must be relevant to </w:t>
            </w:r>
            <w:r w:rsidRPr="00AF2D0B">
              <w:t>and satisfy all of the requirements of the elements and performance criteria on at least one occasion and include: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ListBullet"/>
            </w:pPr>
            <w:r w:rsidRPr="00AF2D0B">
              <w:t>applying consequent mitigation principles</w:t>
            </w:r>
          </w:p>
          <w:p w:rsidR="00000000" w:rsidRPr="00AF2D0B" w:rsidP="00AF2D0B">
            <w:pPr>
              <w:pStyle w:val="ListBullet"/>
            </w:pPr>
            <w:r w:rsidRPr="00AF2D0B">
              <w:t>applying manual handling and team lifting techniques</w:t>
            </w:r>
          </w:p>
          <w:p w:rsidR="00000000" w:rsidRPr="00AF2D0B" w:rsidP="00AF2D0B">
            <w:pPr>
              <w:pStyle w:val="ListBullet"/>
            </w:pPr>
            <w:r w:rsidRPr="00AF2D0B">
              <w:t>applying operational safety</w:t>
            </w:r>
          </w:p>
          <w:p w:rsidR="00000000" w:rsidRPr="00AF2D0B" w:rsidP="00AF2D0B">
            <w:pPr>
              <w:pStyle w:val="ListBullet"/>
            </w:pPr>
            <w:r w:rsidRPr="00AF2D0B">
              <w:t xml:space="preserve">applying safety </w:t>
            </w:r>
            <w:r w:rsidRPr="00AF2D0B">
              <w:t>template requirements</w:t>
            </w:r>
          </w:p>
          <w:p w:rsidR="00000000" w:rsidRPr="00AF2D0B" w:rsidP="00AF2D0B">
            <w:pPr>
              <w:pStyle w:val="ListBullet"/>
            </w:pPr>
            <w:r w:rsidRPr="00AF2D0B">
              <w:t>applying time management</w:t>
            </w:r>
          </w:p>
          <w:p w:rsidR="00000000" w:rsidRPr="00AF2D0B" w:rsidP="00AF2D0B">
            <w:pPr>
              <w:pStyle w:val="ListBullet"/>
            </w:pPr>
            <w:r w:rsidRPr="00AF2D0B">
              <w:t>calculating and applying time and safety distance and cordons</w:t>
            </w:r>
          </w:p>
          <w:p w:rsidR="00000000" w:rsidRPr="00AF2D0B" w:rsidP="00AF2D0B">
            <w:pPr>
              <w:pStyle w:val="ListBullet"/>
            </w:pPr>
            <w:r w:rsidRPr="00AF2D0B">
              <w:t>complying with recognised safety precautions</w:t>
            </w:r>
          </w:p>
          <w:p w:rsidR="00000000" w:rsidRPr="00AF2D0B" w:rsidP="00AF2D0B">
            <w:pPr>
              <w:pStyle w:val="ListBullet"/>
            </w:pPr>
            <w:r w:rsidRPr="00AF2D0B">
              <w:t>conducting explosive ordnance disposal operations</w:t>
            </w:r>
          </w:p>
          <w:p w:rsidR="00000000" w:rsidRPr="00AF2D0B" w:rsidP="00AF2D0B">
            <w:pPr>
              <w:pStyle w:val="ListBullet"/>
            </w:pPr>
            <w:r w:rsidRPr="00AF2D0B">
              <w:t>developing RSPs/disposal methods</w:t>
            </w:r>
          </w:p>
          <w:p w:rsidR="00000000" w:rsidRPr="00AF2D0B" w:rsidP="00AF2D0B">
            <w:pPr>
              <w:pStyle w:val="ListBullet"/>
            </w:pPr>
            <w:r w:rsidRPr="00AF2D0B">
              <w:t>gathering and secur</w:t>
            </w:r>
            <w:r w:rsidRPr="00AF2D0B">
              <w:t>ing evidence</w:t>
            </w:r>
          </w:p>
          <w:p w:rsidR="00000000" w:rsidRPr="00AF2D0B" w:rsidP="00AF2D0B">
            <w:pPr>
              <w:pStyle w:val="ListBullet"/>
            </w:pPr>
            <w:r w:rsidRPr="00AF2D0B">
              <w:t>handling dangerous good and hazardous substances safely</w:t>
            </w:r>
          </w:p>
          <w:p w:rsidR="00000000" w:rsidRPr="00AF2D0B" w:rsidP="00AF2D0B">
            <w:pPr>
              <w:pStyle w:val="ListBullet"/>
            </w:pPr>
            <w:r w:rsidRPr="00AF2D0B">
              <w:t>liaising with other agencies</w:t>
            </w:r>
          </w:p>
          <w:p w:rsidR="00000000" w:rsidRPr="00AF2D0B" w:rsidP="00AF2D0B">
            <w:pPr>
              <w:pStyle w:val="ListBullet"/>
            </w:pPr>
            <w:r w:rsidRPr="00AF2D0B">
              <w:t>locating explosive device</w:t>
            </w:r>
          </w:p>
          <w:p w:rsidR="00000000" w:rsidRPr="00AF2D0B" w:rsidP="00AF2D0B">
            <w:pPr>
              <w:pStyle w:val="ListBullet"/>
            </w:pPr>
            <w:r w:rsidRPr="00AF2D0B">
              <w:t>operating specialist explosive ordnance disposal vehicle</w:t>
            </w:r>
          </w:p>
          <w:p w:rsidR="00000000" w:rsidRPr="00AF2D0B" w:rsidP="00AF2D0B">
            <w:pPr>
              <w:pStyle w:val="ListBullet"/>
            </w:pPr>
            <w:r w:rsidRPr="00AF2D0B">
              <w:t>performing RSP/disposal in a manner which maximises individual safety and the safety of others</w:t>
            </w:r>
          </w:p>
          <w:p w:rsidR="00000000" w:rsidRPr="00AF2D0B" w:rsidP="00AF2D0B">
            <w:pPr>
              <w:pStyle w:val="ListBullet"/>
            </w:pPr>
            <w:r w:rsidRPr="00AF2D0B">
              <w:t>reading, accessing, interpreting and applying technical instructions</w:t>
            </w:r>
          </w:p>
          <w:p w:rsidR="00000000" w:rsidRPr="00AF2D0B" w:rsidP="00AF2D0B">
            <w:pPr>
              <w:pStyle w:val="ListBullet"/>
            </w:pPr>
            <w:r w:rsidRPr="00AF2D0B">
              <w:t>using PPE.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13" w:name="O_1283068"/>
      <w:bookmarkEnd w:id="13"/>
      <w:r w:rsidRPr="00AF2D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D0B">
            <w:pPr>
              <w:pStyle w:val="BodyText"/>
              <w:rPr>
                <w:lang w:val="en-NZ"/>
              </w:rPr>
            </w:pPr>
            <w:r w:rsidRPr="00AF2D0B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ListBullet"/>
            </w:pPr>
            <w:r w:rsidRPr="00AF2D0B">
              <w:t>operational knowledge of:</w:t>
            </w:r>
          </w:p>
          <w:p w:rsidR="00000000" w:rsidRPr="00AF2D0B" w:rsidP="00AF2D0B">
            <w:pPr>
              <w:pStyle w:val="ListBullet2"/>
            </w:pPr>
            <w:r w:rsidRPr="00AF2D0B">
              <w:t>blast/fragmentation/thermal mitigation</w:t>
            </w:r>
          </w:p>
          <w:p w:rsidR="00000000" w:rsidRPr="00AF2D0B" w:rsidP="00AF2D0B">
            <w:pPr>
              <w:pStyle w:val="ListBullet2"/>
            </w:pPr>
            <w:r w:rsidRPr="00AF2D0B">
              <w:t>characteristics and limitations of explosive device to be disposed/rendered safe</w:t>
            </w:r>
          </w:p>
          <w:p w:rsidR="00000000" w:rsidRPr="00AF2D0B" w:rsidP="00AF2D0B">
            <w:pPr>
              <w:pStyle w:val="ListBullet2"/>
            </w:pPr>
            <w:r w:rsidRPr="00AF2D0B">
              <w:t>characteristics and limitations of specialised disposal/render safe tools, equipment and procedures</w:t>
            </w:r>
          </w:p>
          <w:p w:rsidR="00000000" w:rsidRPr="00AF2D0B" w:rsidP="00AF2D0B">
            <w:pPr>
              <w:pStyle w:val="ListBullet2"/>
            </w:pPr>
            <w:r w:rsidRPr="00AF2D0B">
              <w:t>conduct of explosive ordnance disposal operations</w:t>
            </w:r>
          </w:p>
          <w:p w:rsidR="00000000" w:rsidRPr="00AF2D0B" w:rsidP="00AF2D0B">
            <w:pPr>
              <w:pStyle w:val="ListBullet2"/>
            </w:pPr>
            <w:r w:rsidRPr="00AF2D0B">
              <w:t>consequent mitigation pri</w:t>
            </w:r>
            <w:r w:rsidRPr="00AF2D0B">
              <w:t>nciples</w:t>
            </w:r>
          </w:p>
          <w:p w:rsidR="00000000" w:rsidRPr="00AF2D0B" w:rsidP="00AF2D0B">
            <w:pPr>
              <w:pStyle w:val="ListBullet2"/>
            </w:pPr>
            <w:r w:rsidRPr="00AF2D0B">
              <w:t>documentation requirements</w:t>
            </w:r>
          </w:p>
          <w:p w:rsidR="00000000" w:rsidRPr="00AF2D0B" w:rsidP="00AF2D0B">
            <w:pPr>
              <w:pStyle w:val="ListBullet2"/>
            </w:pPr>
            <w:r w:rsidRPr="00AF2D0B">
              <w:t>equipment handling requirements</w:t>
            </w:r>
          </w:p>
          <w:p w:rsidR="00000000" w:rsidRPr="00AF2D0B" w:rsidP="00AF2D0B">
            <w:pPr>
              <w:pStyle w:val="ListBullet2"/>
            </w:pPr>
            <w:r w:rsidRPr="00AF2D0B">
              <w:t>net explosive quantity estimations</w:t>
            </w:r>
          </w:p>
          <w:p w:rsidR="00000000" w:rsidRPr="00AF2D0B" w:rsidP="00AF2D0B">
            <w:pPr>
              <w:pStyle w:val="ListBullet2"/>
            </w:pPr>
            <w:r w:rsidRPr="00AF2D0B">
              <w:t>operational safety</w:t>
            </w:r>
          </w:p>
          <w:p w:rsidR="00000000" w:rsidRPr="00AF2D0B" w:rsidP="00AF2D0B">
            <w:pPr>
              <w:pStyle w:val="ListBullet2"/>
            </w:pPr>
            <w:r w:rsidRPr="00AF2D0B">
              <w:t>relevant testing procedures</w:t>
            </w:r>
          </w:p>
          <w:p w:rsidR="00000000" w:rsidRPr="00AF2D0B" w:rsidP="00AF2D0B">
            <w:pPr>
              <w:pStyle w:val="ListBullet2"/>
            </w:pPr>
            <w:r w:rsidRPr="00AF2D0B">
              <w:t>safety distance calculation procedures</w:t>
            </w:r>
          </w:p>
          <w:p w:rsidR="00000000" w:rsidRPr="00AF2D0B" w:rsidP="00AF2D0B">
            <w:pPr>
              <w:pStyle w:val="ListBullet2"/>
            </w:pPr>
            <w:r w:rsidRPr="00AF2D0B">
              <w:t>site preparation and refurbishment requirements</w:t>
            </w:r>
          </w:p>
          <w:p w:rsidR="00000000" w:rsidRPr="00AF2D0B" w:rsidP="00AF2D0B">
            <w:pPr>
              <w:pStyle w:val="ListBullet2"/>
            </w:pPr>
            <w:r w:rsidRPr="00AF2D0B">
              <w:t>theory of explosive ordnance design.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14" w:name="O_1283067"/>
      <w:bookmarkEnd w:id="14"/>
      <w:r w:rsidRPr="00AF2D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D0B" w:rsidP="00AF2D0B">
            <w:pPr>
              <w:pStyle w:val="BodyText"/>
            </w:pPr>
            <w:r w:rsidRPr="00AF2D0B">
              <w:t>Assessors must hold credentials specified within the Standards for Registered Training Organisations current at the time of assessment.</w:t>
            </w:r>
          </w:p>
          <w:p w:rsidR="00000000" w:rsidRPr="00AF2D0B" w:rsidP="00AF2D0B">
            <w:pPr>
              <w:pStyle w:val="BodyText"/>
            </w:pPr>
            <w:r w:rsidRPr="00AF2D0B">
              <w:t xml:space="preserve">Assessment must satisfy the Principles </w:t>
            </w:r>
            <w:r w:rsidRPr="00AF2D0B">
              <w:t>of Assessment and Rules of Evidence and all regulatory requirements included within the Standards for Registered Training Organisations current at the time of assessment.</w:t>
            </w:r>
          </w:p>
          <w:p w:rsidR="00000000" w:rsidRPr="00AF2D0B" w:rsidP="00AF2D0B">
            <w:pPr>
              <w:pStyle w:val="BodyText"/>
            </w:pPr>
            <w:r w:rsidRPr="00AF2D0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F2D0B" w:rsidP="00AF2D0B">
            <w:pPr>
              <w:pStyle w:val="BodyText"/>
            </w:pPr>
            <w:r w:rsidRPr="00AF2D0B">
              <w:t xml:space="preserve">Assessment processes and techniques must be appropriate to the </w:t>
            </w:r>
            <w:r w:rsidRPr="00AF2D0B">
              <w:t>language, literacy and numeracy requirements of the work being performed and the needs of the candidate.</w:t>
            </w:r>
          </w:p>
          <w:p w:rsidR="00000000" w:rsidRPr="00AF2D0B" w:rsidP="00AF2D0B">
            <w:pPr>
              <w:pStyle w:val="BodyText"/>
            </w:pPr>
            <w:r w:rsidRPr="00AF2D0B">
              <w:t>Resources for assessment must include access to:</w:t>
            </w:r>
          </w:p>
          <w:p w:rsidR="00000000" w:rsidRPr="00AF2D0B" w:rsidP="00AF2D0B">
            <w:pPr>
              <w:pStyle w:val="ListBullet"/>
            </w:pPr>
            <w:r w:rsidRPr="00AF2D0B">
              <w:t>a range of relevant exercises, case studies and/or simulations</w:t>
            </w:r>
          </w:p>
          <w:p w:rsidR="00000000" w:rsidRPr="00AF2D0B" w:rsidP="00AF2D0B">
            <w:pPr>
              <w:pStyle w:val="ListBullet"/>
            </w:pPr>
            <w:r w:rsidRPr="00AF2D0B">
              <w:t>acceptable means of simulation assessm</w:t>
            </w:r>
            <w:r w:rsidRPr="00AF2D0B">
              <w:t>ent</w:t>
            </w:r>
          </w:p>
          <w:p w:rsidR="00000000" w:rsidRPr="00AF2D0B" w:rsidP="00AF2D0B">
            <w:pPr>
              <w:pStyle w:val="ListBullet"/>
            </w:pPr>
            <w:r w:rsidRPr="00AF2D0B">
              <w:t xml:space="preserve">applicable documentation, including workplace procedures, regulations, codes of practice and operation manuals </w:t>
            </w:r>
          </w:p>
          <w:p w:rsidR="00000000" w:rsidRPr="00AF2D0B" w:rsidP="00AF2D0B">
            <w:pPr>
              <w:pStyle w:val="ListBullet"/>
            </w:pPr>
            <w:r w:rsidRPr="00AF2D0B">
              <w:t>relevant materials, tools, equipment and PPE currently used in industry.</w:t>
            </w:r>
          </w:p>
        </w:tc>
      </w:tr>
    </w:tbl>
    <w:p w:rsidR="00DB22BC" w:rsidP="00AF2D0B">
      <w:pPr>
        <w:pStyle w:val="NoPaddingFontSize1"/>
      </w:pPr>
    </w:p>
    <w:p w:rsidR="00DB22BC" w:rsidP="00AF2D0B">
      <w:pPr>
        <w:pStyle w:val="NoPaddingFontSize1"/>
      </w:pPr>
    </w:p>
    <w:p w:rsidR="00000000" w:rsidRPr="00AF2D0B" w:rsidP="00AF2D0B">
      <w:pPr>
        <w:pStyle w:val="Heading1"/>
      </w:pPr>
      <w:bookmarkStart w:id="15" w:name="O_1284194"/>
      <w:bookmarkEnd w:id="15"/>
      <w:r w:rsidRPr="00AF2D0B">
        <w:t>Links</w:t>
      </w:r>
    </w:p>
    <w:p w:rsidR="00000000" w:rsidRPr="00AF2D0B" w:rsidP="00DB22BC">
      <w:pPr>
        <w:pStyle w:val="BodyText"/>
      </w:pPr>
      <w:r w:rsidRPr="00AF2D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025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2D0B" w:rsidP="00AF2D0B"/>
    <w:sectPr w:rsidSect="00AF2D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 w:rsidRPr="00DB22BC" w:rsidP="00DB2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BC" w:rsidP="00AF2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2BC" w:rsidP="00AF2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22BC" w:rsidP="00AF2D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 w:rsidP="00AF2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22BC">
      <w:t>Approved</w:t>
    </w:r>
    <w:r w:rsidR="00DB2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22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22BC">
      <w:rPr>
        <w:noProof/>
      </w:rPr>
      <w:t>4</w:t>
    </w:r>
    <w:r>
      <w:rPr>
        <w:noProof/>
      </w:rPr>
      <w:fldChar w:fldCharType="end"/>
    </w:r>
  </w:p>
  <w:p w:rsidR="00AF2D0B" w:rsidP="00AF2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2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22BC">
      <w:t>Public Skills Australia</w:t>
    </w:r>
    <w:r w:rsidR="00DB22BC">
      <w:fldChar w:fldCharType="end"/>
    </w:r>
  </w:p>
  <w:p w:rsidR="00AF2D0B" w:rsidP="00AF2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D0B" w:rsidRPr="00DB22BC" w:rsidP="00DB2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BC" w:rsidRPr="002D2AF8" w:rsidP="00AF2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DEFEXO114 Develop explosive ordnance disposal techniques and render safe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22BC" w:rsidP="00AF2D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0B" w:rsidRPr="002D2AF8" w:rsidP="00AF2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22BC">
      <w:t>DEFEXO114 Develop explosive ordnance disposal techniques and render safe procedures</w:t>
    </w:r>
    <w:r w:rsidR="00DB2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22BC">
      <w:rPr>
        <w:noProof/>
      </w:rPr>
      <w:t>2 March 2025</w:t>
    </w:r>
    <w:r>
      <w:fldChar w:fldCharType="end"/>
    </w:r>
  </w:p>
  <w:p w:rsidR="00AF2D0B" w:rsidP="00AF2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0C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AD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A5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D0B"/>
  </w:style>
  <w:style w:type="character" w:customStyle="1" w:styleId="Heading1Char">
    <w:name w:val="Heading 1 Char"/>
    <w:basedOn w:val="DefaultParagraphFont"/>
    <w:link w:val="Heading1"/>
    <w:rsid w:val="00AF2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D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D0B"/>
    <w:rPr>
      <w:b/>
      <w:spacing w:val="0"/>
    </w:rPr>
  </w:style>
  <w:style w:type="paragraph" w:styleId="ListBullet2">
    <w:name w:val="List Bullet 2"/>
    <w:basedOn w:val="List2"/>
    <w:rsid w:val="00AF2D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D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D0B"/>
    <w:rPr>
      <w:i/>
    </w:rPr>
  </w:style>
  <w:style w:type="paragraph" w:styleId="Caption">
    <w:name w:val="caption"/>
    <w:basedOn w:val="BodyText"/>
    <w:next w:val="Normal"/>
    <w:qFormat/>
    <w:rsid w:val="00AF2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D0B"/>
  </w:style>
  <w:style w:type="paragraph" w:styleId="TableofFigures">
    <w:name w:val="table of figures"/>
    <w:basedOn w:val="Normal"/>
    <w:next w:val="Normal"/>
    <w:semiHidden/>
    <w:rsid w:val="00AF2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D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D0B"/>
    <w:rPr>
      <w:rFonts w:ascii="Wingdings" w:hAnsi="Wingdings"/>
    </w:rPr>
  </w:style>
  <w:style w:type="paragraph" w:customStyle="1" w:styleId="TableHeading">
    <w:name w:val="Table Heading"/>
    <w:basedOn w:val="HeadingBase"/>
    <w:rsid w:val="00AF2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D0B"/>
    <w:rPr>
      <w:color w:val="0033CC"/>
      <w:u w:val="none"/>
    </w:rPr>
  </w:style>
  <w:style w:type="paragraph" w:customStyle="1" w:styleId="BodyTextRight">
    <w:name w:val="Body Text Right"/>
    <w:basedOn w:val="BodyText"/>
    <w:rsid w:val="00AF2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D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D0B"/>
    <w:rPr>
      <w:sz w:val="32"/>
    </w:rPr>
  </w:style>
  <w:style w:type="paragraph" w:customStyle="1" w:styleId="HeadingProcedure">
    <w:name w:val="Heading Procedure"/>
    <w:basedOn w:val="HeadingBase"/>
    <w:next w:val="Normal"/>
    <w:rsid w:val="00AF2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D0B"/>
    <w:pPr>
      <w:spacing w:before="60" w:after="60"/>
    </w:pPr>
  </w:style>
  <w:style w:type="paragraph" w:styleId="ListContinue">
    <w:name w:val="List Continue"/>
    <w:basedOn w:val="List"/>
    <w:rsid w:val="00AF2D0B"/>
    <w:pPr>
      <w:ind w:firstLine="0"/>
    </w:pPr>
  </w:style>
  <w:style w:type="paragraph" w:customStyle="1" w:styleId="ListNote">
    <w:name w:val="List Note"/>
    <w:basedOn w:val="List"/>
    <w:rsid w:val="00AF2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D0B"/>
    <w:rPr>
      <w:rFonts w:ascii="Courier New" w:hAnsi="Courier New"/>
    </w:rPr>
  </w:style>
  <w:style w:type="paragraph" w:customStyle="1" w:styleId="NoteBullet">
    <w:name w:val="Note Bullet"/>
    <w:basedOn w:val="Note"/>
    <w:rsid w:val="00AF2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D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D0B"/>
    <w:rPr>
      <w:b/>
      <w:smallCaps/>
    </w:rPr>
  </w:style>
  <w:style w:type="paragraph" w:customStyle="1" w:styleId="TableListNumber">
    <w:name w:val="Table List Number"/>
    <w:basedOn w:val="ListNumber"/>
    <w:rsid w:val="00AF2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D0B"/>
    <w:pPr>
      <w:numPr>
        <w:numId w:val="9"/>
      </w:numPr>
    </w:pPr>
  </w:style>
  <w:style w:type="paragraph" w:customStyle="1" w:styleId="ListAlpha2">
    <w:name w:val="List Alpha 2"/>
    <w:basedOn w:val="List2"/>
    <w:rsid w:val="00AF2D0B"/>
    <w:pPr>
      <w:numPr>
        <w:numId w:val="8"/>
      </w:numPr>
    </w:pPr>
  </w:style>
  <w:style w:type="paragraph" w:styleId="List2">
    <w:name w:val="List 2"/>
    <w:basedOn w:val="BodyText"/>
    <w:rsid w:val="00AF2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D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D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D0B"/>
    <w:pPr>
      <w:numPr>
        <w:numId w:val="4"/>
      </w:numPr>
    </w:pPr>
  </w:style>
  <w:style w:type="paragraph" w:styleId="ListContinue2">
    <w:name w:val="List Continue 2"/>
    <w:basedOn w:val="List2"/>
    <w:rsid w:val="00AF2D0B"/>
    <w:pPr>
      <w:ind w:firstLine="0"/>
    </w:pPr>
  </w:style>
  <w:style w:type="paragraph" w:styleId="ListContinue3">
    <w:name w:val="List Continue 3"/>
    <w:basedOn w:val="List3"/>
    <w:rsid w:val="00AF2D0B"/>
    <w:pPr>
      <w:ind w:left="1021" w:firstLine="0"/>
    </w:pPr>
  </w:style>
  <w:style w:type="paragraph" w:styleId="ListContinue4">
    <w:name w:val="List Continue 4"/>
    <w:basedOn w:val="List4"/>
    <w:rsid w:val="00AF2D0B"/>
    <w:pPr>
      <w:ind w:firstLine="0"/>
    </w:pPr>
  </w:style>
  <w:style w:type="paragraph" w:styleId="ListContinue5">
    <w:name w:val="List Continue 5"/>
    <w:basedOn w:val="List5"/>
    <w:rsid w:val="00AF2D0B"/>
    <w:pPr>
      <w:ind w:firstLine="0"/>
    </w:pPr>
  </w:style>
  <w:style w:type="paragraph" w:styleId="ListNumber3">
    <w:name w:val="List Number 3"/>
    <w:basedOn w:val="List3"/>
    <w:rsid w:val="00AF2D0B"/>
    <w:pPr>
      <w:numPr>
        <w:numId w:val="5"/>
      </w:numPr>
    </w:pPr>
  </w:style>
  <w:style w:type="paragraph" w:styleId="ListNumber4">
    <w:name w:val="List Number 4"/>
    <w:basedOn w:val="List4"/>
    <w:rsid w:val="00AF2D0B"/>
    <w:pPr>
      <w:numPr>
        <w:numId w:val="6"/>
      </w:numPr>
    </w:pPr>
  </w:style>
  <w:style w:type="paragraph" w:styleId="ListNumber5">
    <w:name w:val="List Number 5"/>
    <w:basedOn w:val="List5"/>
    <w:rsid w:val="00AF2D0B"/>
    <w:pPr>
      <w:numPr>
        <w:numId w:val="7"/>
      </w:numPr>
    </w:pPr>
  </w:style>
  <w:style w:type="paragraph" w:styleId="BlockText">
    <w:name w:val="Block Text"/>
    <w:basedOn w:val="Normal"/>
    <w:rsid w:val="00AF2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D0B"/>
    <w:rPr>
      <w:sz w:val="16"/>
      <w:vertAlign w:val="superscript"/>
    </w:rPr>
  </w:style>
  <w:style w:type="character" w:customStyle="1" w:styleId="Symbols">
    <w:name w:val="Symbols"/>
    <w:basedOn w:val="DefaultParagraphFont"/>
    <w:rsid w:val="00AF2D0B"/>
    <w:rPr>
      <w:rFonts w:ascii="Symbol" w:hAnsi="Symbol"/>
    </w:rPr>
  </w:style>
  <w:style w:type="character" w:customStyle="1" w:styleId="MenuOptions">
    <w:name w:val="Menu Options"/>
    <w:basedOn w:val="DefaultParagraphFont"/>
    <w:rsid w:val="00AF2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D0B"/>
    <w:rPr>
      <w:b/>
    </w:rPr>
  </w:style>
  <w:style w:type="character" w:customStyle="1" w:styleId="Underlined">
    <w:name w:val="Underlined"/>
    <w:basedOn w:val="DefaultParagraphFont"/>
    <w:rsid w:val="00AF2D0B"/>
    <w:rPr>
      <w:u w:val="single"/>
    </w:rPr>
  </w:style>
  <w:style w:type="paragraph" w:customStyle="1" w:styleId="TableBodyTextRight">
    <w:name w:val="Table Body Text Right"/>
    <w:basedOn w:val="TableBodyText"/>
    <w:rsid w:val="00AF2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D0B"/>
    <w:rPr>
      <w:sz w:val="18"/>
    </w:rPr>
  </w:style>
  <w:style w:type="paragraph" w:customStyle="1" w:styleId="BodySmallRight">
    <w:name w:val="Body Small Right"/>
    <w:basedOn w:val="BodyTextRight"/>
    <w:rsid w:val="00AF2D0B"/>
    <w:rPr>
      <w:sz w:val="18"/>
      <w:szCs w:val="18"/>
    </w:rPr>
  </w:style>
  <w:style w:type="paragraph" w:customStyle="1" w:styleId="MarginEdition">
    <w:name w:val="Margin Edition"/>
    <w:basedOn w:val="MarginNote"/>
    <w:rsid w:val="00AF2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D0B"/>
    <w:rPr>
      <w:sz w:val="2"/>
      <w:szCs w:val="2"/>
    </w:rPr>
  </w:style>
  <w:style w:type="character" w:customStyle="1" w:styleId="Small">
    <w:name w:val="Small"/>
    <w:basedOn w:val="DefaultParagraphFont"/>
    <w:rsid w:val="00AF2D0B"/>
    <w:rPr>
      <w:sz w:val="16"/>
    </w:rPr>
  </w:style>
  <w:style w:type="paragraph" w:customStyle="1" w:styleId="WideTable">
    <w:name w:val="Wide Table"/>
    <w:basedOn w:val="Normal"/>
    <w:rsid w:val="00AF2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D0B"/>
  </w:style>
  <w:style w:type="paragraph" w:styleId="Quote">
    <w:name w:val="Quote"/>
    <w:basedOn w:val="Heading1"/>
    <w:link w:val="QuoteChar"/>
    <w:qFormat/>
    <w:rsid w:val="00AF2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D0B"/>
    <w:pPr>
      <w:pageBreakBefore/>
    </w:pPr>
  </w:style>
  <w:style w:type="paragraph" w:customStyle="1" w:styleId="Border">
    <w:name w:val="Border"/>
    <w:basedOn w:val="Normal"/>
    <w:qFormat/>
    <w:rsid w:val="00AF2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D0B"/>
    <w:rPr>
      <w:u w:val="single"/>
    </w:rPr>
  </w:style>
  <w:style w:type="character" w:customStyle="1" w:styleId="BoldandItalics">
    <w:name w:val="Bold and Italics"/>
    <w:qFormat/>
    <w:rsid w:val="00AF2D0B"/>
    <w:rPr>
      <w:b/>
      <w:i/>
      <w:u w:val="none"/>
    </w:rPr>
  </w:style>
  <w:style w:type="paragraph" w:styleId="BalloonText">
    <w:name w:val="Balloon Text"/>
    <w:basedOn w:val="Normal"/>
    <w:link w:val="BalloonTextChar"/>
    <w:rsid w:val="00AF2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D0B"/>
    <w:pPr>
      <w:spacing w:before="0" w:after="0"/>
    </w:pPr>
  </w:style>
  <w:style w:type="paragraph" w:customStyle="1" w:styleId="BodyTextBold">
    <w:name w:val="Body Text Bold"/>
    <w:basedOn w:val="BodyText"/>
    <w:qFormat/>
    <w:rsid w:val="00AF2D0B"/>
    <w:rPr>
      <w:b/>
    </w:rPr>
  </w:style>
  <w:style w:type="character" w:styleId="Hyperlink">
    <w:name w:val="Hyperlink"/>
    <w:basedOn w:val="DefaultParagraphFont"/>
    <w:uiPriority w:val="99"/>
    <w:unhideWhenUsed/>
    <w:rsid w:val="00DB2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7090</Characters>
  <Application>Microsoft Office Word</Application>
  <DocSecurity>0</DocSecurity>
  <Lines>244</Lines>
  <Paragraphs>156</Paragraphs>
  <ScaleCrop>false</ScaleCrop>
  <Company>Author-it Software Corporation Ltd.</Company>
  <LinksUpToDate>false</LinksUpToDate>
  <CharactersWithSpaces>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DEFEXO114 Develop explosive ordnance disposal techniques and render safe procedures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