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08B" w:rsidP="00B64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DEFEXO112 Detect, record and collect evidence</w:t>
      </w:r>
      <w:r>
        <w:fldChar w:fldCharType="end"/>
      </w:r>
    </w:p>
    <w:p w:rsidR="00B6408B" w:rsidP="00B6408B">
      <w:pPr>
        <w:pStyle w:val="Version"/>
        <w:sectPr w:rsidSect="00184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4779" w:rsidP="00184779">
      <w:pPr>
        <w:pStyle w:val="SuperHeading"/>
      </w:pPr>
      <w:r w:rsidRPr="00184779">
        <w:t>DEFEXO112 Detect, record and collect evidence</w:t>
      </w:r>
    </w:p>
    <w:p w:rsidR="00000000" w:rsidRPr="00184779" w:rsidP="00184779">
      <w:pPr>
        <w:pStyle w:val="Heading1"/>
      </w:pPr>
      <w:bookmarkStart w:id="1" w:name="O_1098071"/>
      <w:bookmarkEnd w:id="1"/>
      <w:r w:rsidRPr="001847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Release 2. Modifications made to Foundation Skills and Assessment Conditions.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t>Release 1. This unit was released in DEF Defence Training Package release 1.0 and meets the Standards for Training Packages.</w:t>
            </w:r>
          </w:p>
          <w:p w:rsidR="00000000" w:rsidRPr="00184779" w:rsidP="00184779">
            <w:pPr>
              <w:pStyle w:val="BodyText"/>
            </w:pPr>
            <w:r w:rsidRPr="00184779">
              <w:t>This unit supersedes a</w:t>
            </w:r>
            <w:r w:rsidRPr="00184779">
              <w:t>nd is equivalent to DEFEO722A Detect, record and collect evidence.</w:t>
            </w:r>
          </w:p>
          <w:p w:rsidR="00000000" w:rsidRPr="00184779" w:rsidP="00184779">
            <w:pPr>
              <w:pStyle w:val="ListBullet"/>
            </w:pPr>
            <w:r w:rsidRPr="00184779">
              <w:t>Unit code updated</w:t>
            </w:r>
          </w:p>
          <w:p w:rsidR="00000000" w:rsidRPr="00184779" w:rsidP="00184779">
            <w:pPr>
              <w:pStyle w:val="ListBullet"/>
            </w:pPr>
            <w:r w:rsidRPr="00184779">
              <w:t>Content and formatting updated to comply with the new standards</w:t>
            </w:r>
          </w:p>
          <w:p w:rsidR="00000000" w:rsidRPr="00184779" w:rsidP="00184779">
            <w:pPr>
              <w:pStyle w:val="ListBullet"/>
            </w:pPr>
            <w:r w:rsidRPr="00184779">
              <w:t>All PC transitioned from passive to active voice</w:t>
            </w:r>
          </w:p>
          <w:p w:rsidR="00000000" w:rsidRPr="00184779" w:rsidP="00184779">
            <w:pPr>
              <w:pStyle w:val="ListBullet"/>
            </w:pPr>
            <w:r w:rsidRPr="00184779">
              <w:t>PC 3.2 removed</w:t>
            </w:r>
          </w:p>
          <w:p w:rsidR="00000000" w:rsidRPr="00184779" w:rsidP="00184779">
            <w:pPr>
              <w:pStyle w:val="ListBullet"/>
            </w:pPr>
            <w:r w:rsidRPr="00184779">
              <w:t>PC 1.4 and 1.5 merged</w:t>
            </w:r>
          </w:p>
          <w:p w:rsidR="00000000" w:rsidRPr="00184779" w:rsidP="00184779">
            <w:pPr>
              <w:pStyle w:val="ListBullet"/>
            </w:pPr>
            <w:r w:rsidRPr="00184779">
              <w:t>Elements 2 and 3 mer</w:t>
            </w:r>
            <w:r w:rsidRPr="00184779">
              <w:t>ged</w:t>
            </w:r>
          </w:p>
        </w:tc>
      </w:tr>
    </w:tbl>
    <w:p w:rsidR="00B6408B" w:rsidP="00184779">
      <w:pPr>
        <w:pStyle w:val="NoPaddingFontSize1"/>
      </w:pPr>
    </w:p>
    <w:p w:rsidR="00B6408B" w:rsidP="00184779">
      <w:pPr>
        <w:pStyle w:val="NoPaddingFontSize1"/>
      </w:pPr>
    </w:p>
    <w:p w:rsidR="00000000" w:rsidRPr="00184779" w:rsidP="00184779">
      <w:pPr>
        <w:pStyle w:val="Heading1"/>
      </w:pPr>
      <w:bookmarkStart w:id="2" w:name="O_1098070"/>
      <w:bookmarkEnd w:id="2"/>
      <w:r w:rsidRPr="001847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t xml:space="preserve">This unit describes the skills required to detect, record and collect physical evidence resulting from an explosive incident. These activities </w:t>
            </w:r>
            <w:r w:rsidRPr="00184779">
              <w:t>can be conducted under a variety of conditions, including wartime, peacekeeping, training, in support of the civilian community/authority, as part of a joint services and/or coalition operation. The explosive incident may be an act of aggression or an acci</w:t>
            </w:r>
            <w:r w:rsidRPr="00184779">
              <w:t>dent.</w:t>
            </w:r>
          </w:p>
          <w:p w:rsidR="00000000" w:rsidRPr="00184779" w:rsidP="00184779">
            <w:pPr>
              <w:pStyle w:val="BodyText"/>
            </w:pPr>
            <w:r w:rsidRPr="00184779">
              <w:t>This unit was developed for personnel who are required to detect, record and collect physical evidence resulting from an explosive incident.</w:t>
            </w:r>
          </w:p>
          <w:p w:rsidR="00000000" w:rsidRPr="00184779" w:rsidP="00184779">
            <w:pPr>
              <w:pStyle w:val="BodyText"/>
            </w:pPr>
            <w:r w:rsidRPr="00184779">
              <w:t>The skills and knowledge described in this unit must be applied within the legislative, regulatory and policy</w:t>
            </w:r>
            <w:r w:rsidRPr="00184779">
              <w:t xml:space="preserve"> environment in which they are carried out. Organisational policies and procedures must be consulted and adhered to.</w:t>
            </w:r>
          </w:p>
          <w:p w:rsidR="00000000" w:rsidRPr="00184779" w:rsidP="00184779">
            <w:pPr>
              <w:pStyle w:val="BodyText"/>
            </w:pPr>
            <w:r w:rsidRPr="00184779">
              <w:t>Those undertaking this unit would work individually and/or as part of a team, under indirect supervision. They would use discretion and jud</w:t>
            </w:r>
            <w:r w:rsidRPr="00184779">
              <w:t>gement and take responsibility for the quality of their outputs, performing routine tasks in a range of contexts.</w:t>
            </w:r>
          </w:p>
          <w:p w:rsidR="00000000" w:rsidRPr="00184779" w:rsidP="00184779">
            <w:pPr>
              <w:pStyle w:val="BodyText"/>
            </w:pPr>
            <w:r w:rsidRPr="00184779">
              <w:t>No licensing, legislative or certification requirements apply to unit at the time of publication.</w:t>
            </w:r>
          </w:p>
        </w:tc>
      </w:tr>
    </w:tbl>
    <w:p w:rsidR="00B6408B" w:rsidP="00184779">
      <w:pPr>
        <w:pStyle w:val="NoPaddingFontSize1"/>
      </w:pPr>
    </w:p>
    <w:p w:rsidR="00B6408B" w:rsidP="00184779">
      <w:pPr>
        <w:pStyle w:val="NoPaddingFontSize1"/>
      </w:pPr>
    </w:p>
    <w:p w:rsidR="00000000" w:rsidRPr="00184779" w:rsidP="00184779">
      <w:pPr>
        <w:pStyle w:val="Heading1"/>
      </w:pPr>
      <w:bookmarkStart w:id="3" w:name="O_1105345"/>
      <w:bookmarkEnd w:id="3"/>
      <w:r w:rsidRPr="001847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t>Not</w:t>
            </w:r>
            <w:r w:rsidRPr="00184779">
              <w:t xml:space="preserve"> applicable.</w:t>
            </w:r>
          </w:p>
        </w:tc>
      </w:tr>
    </w:tbl>
    <w:p w:rsidR="00B6408B" w:rsidP="00184779">
      <w:pPr>
        <w:pStyle w:val="NoPaddingFontSize1"/>
      </w:pPr>
    </w:p>
    <w:p w:rsidR="00B6408B" w:rsidP="00184779">
      <w:pPr>
        <w:pStyle w:val="NoPaddingFontSize1"/>
      </w:pPr>
    </w:p>
    <w:p w:rsidR="00000000" w:rsidRPr="00184779" w:rsidP="00184779">
      <w:pPr>
        <w:pStyle w:val="Heading1"/>
      </w:pPr>
      <w:bookmarkStart w:id="4" w:name="O_1098069"/>
      <w:bookmarkEnd w:id="4"/>
      <w:r w:rsidRPr="001847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t>Explosive Ordnance</w:t>
            </w:r>
          </w:p>
        </w:tc>
      </w:tr>
    </w:tbl>
    <w:p w:rsidR="00B6408B" w:rsidP="00184779">
      <w:pPr>
        <w:pStyle w:val="NoPaddingFontSize1"/>
      </w:pPr>
    </w:p>
    <w:p w:rsidR="00B6408B" w:rsidP="00184779">
      <w:pPr>
        <w:pStyle w:val="NoPaddingFontSize1"/>
      </w:pPr>
    </w:p>
    <w:p w:rsidR="00000000" w:rsidRPr="00184779" w:rsidP="00184779">
      <w:pPr>
        <w:pStyle w:val="Heading1"/>
      </w:pPr>
      <w:bookmarkStart w:id="5" w:name="O_1105346"/>
      <w:bookmarkEnd w:id="5"/>
      <w:r w:rsidRPr="001847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t>Not applicable.</w:t>
            </w:r>
          </w:p>
        </w:tc>
      </w:tr>
    </w:tbl>
    <w:p w:rsidR="00B6408B" w:rsidP="00184779">
      <w:pPr>
        <w:pStyle w:val="NoPaddingFontSize1"/>
      </w:pPr>
    </w:p>
    <w:p w:rsidR="00B6408B" w:rsidP="00184779">
      <w:pPr>
        <w:pStyle w:val="NoPaddingFontSize1"/>
      </w:pPr>
    </w:p>
    <w:p w:rsidR="00000000" w:rsidRPr="00184779" w:rsidP="00184779">
      <w:pPr>
        <w:pStyle w:val="Heading1"/>
      </w:pPr>
      <w:bookmarkStart w:id="6" w:name="O_1098068"/>
      <w:bookmarkEnd w:id="6"/>
      <w:r w:rsidRPr="001847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PERFORMANCE CRITERIA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Performance criteria describe the performance needed to demonstrate achievement of the element.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rPr>
                <w:rStyle w:val="SpecialBold"/>
              </w:rPr>
              <w:t>Detect and record physical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Detect physical evidence using observation techniques and appropriate technological methods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Detect latent ev</w:t>
            </w:r>
            <w:r w:rsidRPr="00184779">
              <w:t>idence by physical or chemical means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Record evidence prior to examination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Document evidence using recording methods within resource limitations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rPr>
                <w:rStyle w:val="SpecialBold"/>
              </w:rPr>
              <w:t>Collect and package physical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Collect evidence to prevent contamination or loss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Collect sufficient samples to allow for further examination/analysis, where possible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Collect sufficient samples to represent the natural variation that occurs in the evidence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t>Collect control reference samples where available and appropriate</w:t>
            </w:r>
          </w:p>
        </w:tc>
      </w:tr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779">
            <w:pPr>
              <w:pStyle w:val="BodyText"/>
              <w:rPr>
                <w:lang w:val="en-NZ"/>
              </w:rPr>
            </w:pPr>
            <w:r w:rsidRPr="0018477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t>Package and store evidence to maintain custody of evidence and prevent degradation or contamination</w:t>
            </w:r>
          </w:p>
        </w:tc>
      </w:tr>
    </w:tbl>
    <w:p w:rsidR="00B6408B" w:rsidP="00184779">
      <w:pPr>
        <w:pStyle w:val="NoPaddingFontSize1"/>
      </w:pPr>
    </w:p>
    <w:p w:rsidR="00B6408B" w:rsidP="00184779">
      <w:pPr>
        <w:pStyle w:val="NoPaddingFontSize1"/>
      </w:pPr>
    </w:p>
    <w:p w:rsidR="00000000" w:rsidRPr="00184779" w:rsidP="00184779">
      <w:pPr>
        <w:pStyle w:val="Heading1"/>
      </w:pPr>
      <w:bookmarkStart w:id="7" w:name="O_1098067"/>
      <w:bookmarkEnd w:id="7"/>
      <w:r w:rsidRPr="001847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t>Foundation skills essential to performance are explicit in the performance criteria of this unit of competency.</w:t>
            </w:r>
          </w:p>
        </w:tc>
      </w:tr>
    </w:tbl>
    <w:p w:rsidR="00B6408B" w:rsidP="00184779">
      <w:pPr>
        <w:pStyle w:val="NoPaddingFontSize1"/>
      </w:pPr>
    </w:p>
    <w:p w:rsidR="00B6408B" w:rsidP="00184779">
      <w:pPr>
        <w:pStyle w:val="NoPaddingFontSize1"/>
      </w:pPr>
    </w:p>
    <w:p w:rsidR="00000000" w:rsidRPr="00184779" w:rsidP="00184779">
      <w:pPr>
        <w:pStyle w:val="Heading1"/>
      </w:pPr>
      <w:bookmarkStart w:id="8" w:name="O_1105347"/>
      <w:bookmarkEnd w:id="8"/>
      <w:r w:rsidRPr="001847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t>Range is restricted to essential operating conditions and any other variables essential to the work environment.</w:t>
            </w:r>
          </w:p>
          <w:p w:rsidR="00000000" w:rsidRPr="00184779" w:rsidP="00184779">
            <w:pPr>
              <w:pStyle w:val="BodyText"/>
            </w:pPr>
            <w:r w:rsidRPr="00184779">
              <w:t>Non-essential conditions may be found in the Companion Volume Implementation Guide.</w:t>
            </w:r>
          </w:p>
        </w:tc>
      </w:tr>
    </w:tbl>
    <w:p w:rsidR="00B6408B" w:rsidP="00184779">
      <w:pPr>
        <w:pStyle w:val="NoPaddingFontSize1"/>
      </w:pPr>
    </w:p>
    <w:p w:rsidR="00B6408B" w:rsidP="00184779">
      <w:pPr>
        <w:pStyle w:val="NoPaddingFontSize1"/>
      </w:pPr>
    </w:p>
    <w:p w:rsidR="00000000" w:rsidRPr="00184779" w:rsidP="00184779">
      <w:pPr>
        <w:pStyle w:val="Heading1"/>
      </w:pPr>
      <w:bookmarkStart w:id="9" w:name="O_1098066"/>
      <w:bookmarkEnd w:id="9"/>
      <w:r w:rsidRPr="001847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779" w:rsidP="00184779">
            <w:pPr>
              <w:pStyle w:val="BodyText"/>
            </w:pPr>
            <w:r w:rsidRPr="00184779">
              <w:t>This unit su</w:t>
            </w:r>
            <w:r w:rsidRPr="00184779">
              <w:t>persedes and is equivalent to DEFEO722A Detect, record and collect evidence.</w:t>
            </w:r>
          </w:p>
        </w:tc>
      </w:tr>
    </w:tbl>
    <w:p w:rsidR="00B6408B" w:rsidP="00184779">
      <w:pPr>
        <w:pStyle w:val="NoPaddingFontSize1"/>
      </w:pPr>
    </w:p>
    <w:p w:rsidR="00B6408B" w:rsidP="00184779">
      <w:pPr>
        <w:pStyle w:val="NoPaddingFontSize1"/>
      </w:pPr>
    </w:p>
    <w:p w:rsidR="00000000" w:rsidRPr="00184779" w:rsidP="00184779">
      <w:pPr>
        <w:pStyle w:val="Heading1"/>
      </w:pPr>
      <w:bookmarkStart w:id="10" w:name="O_1098072"/>
      <w:bookmarkEnd w:id="10"/>
      <w:r w:rsidRPr="00184779">
        <w:t>Links</w:t>
      </w:r>
    </w:p>
    <w:p w:rsidR="00000000" w:rsidRPr="00184779" w:rsidP="00B6408B">
      <w:pPr>
        <w:pStyle w:val="BodyText"/>
      </w:pPr>
      <w:r w:rsidRPr="00184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7310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84779" w:rsidP="00184779"/>
    <w:sectPr w:rsidSect="001847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79" w:rsidRPr="00B6408B" w:rsidP="00B64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8B" w:rsidP="00184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08B" w:rsidP="00184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6408B" w:rsidP="00184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779" w:rsidRPr="00B6408B" w:rsidP="00B64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8B" w:rsidRPr="002D2AF8" w:rsidP="00184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DEFEXO112 Detect, record and collect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6408B" w:rsidP="00184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B8D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8E69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779"/>
  </w:style>
  <w:style w:type="character" w:customStyle="1" w:styleId="Heading1Char">
    <w:name w:val="Heading 1 Char"/>
    <w:basedOn w:val="DefaultParagraphFont"/>
    <w:link w:val="Heading1"/>
    <w:rsid w:val="00184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7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779"/>
    <w:rPr>
      <w:b/>
      <w:spacing w:val="0"/>
    </w:rPr>
  </w:style>
  <w:style w:type="paragraph" w:customStyle="1" w:styleId="SuperHeading">
    <w:name w:val="SuperHeading"/>
    <w:basedOn w:val="Normal"/>
    <w:rsid w:val="00184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4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7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779"/>
    <w:rPr>
      <w:i/>
    </w:rPr>
  </w:style>
  <w:style w:type="paragraph" w:styleId="Caption">
    <w:name w:val="caption"/>
    <w:basedOn w:val="BodyText"/>
    <w:next w:val="Normal"/>
    <w:qFormat/>
    <w:rsid w:val="00184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779"/>
  </w:style>
  <w:style w:type="paragraph" w:styleId="TableofFigures">
    <w:name w:val="table of figures"/>
    <w:basedOn w:val="Normal"/>
    <w:next w:val="Normal"/>
    <w:semiHidden/>
    <w:rsid w:val="00184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7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779"/>
    <w:rPr>
      <w:rFonts w:ascii="Wingdings" w:hAnsi="Wingdings"/>
    </w:rPr>
  </w:style>
  <w:style w:type="paragraph" w:customStyle="1" w:styleId="TableHeading">
    <w:name w:val="Table Heading"/>
    <w:basedOn w:val="HeadingBase"/>
    <w:rsid w:val="00184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779"/>
    <w:rPr>
      <w:color w:val="0033CC"/>
      <w:u w:val="none"/>
    </w:rPr>
  </w:style>
  <w:style w:type="paragraph" w:customStyle="1" w:styleId="BodyTextRight">
    <w:name w:val="Body Text Right"/>
    <w:basedOn w:val="BodyText"/>
    <w:rsid w:val="00184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7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779"/>
    <w:rPr>
      <w:sz w:val="32"/>
    </w:rPr>
  </w:style>
  <w:style w:type="paragraph" w:customStyle="1" w:styleId="HeadingProcedure">
    <w:name w:val="Heading Procedure"/>
    <w:basedOn w:val="HeadingBase"/>
    <w:next w:val="Normal"/>
    <w:rsid w:val="00184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779"/>
    <w:pPr>
      <w:spacing w:before="60" w:after="60"/>
    </w:pPr>
  </w:style>
  <w:style w:type="paragraph" w:styleId="ListContinue">
    <w:name w:val="List Continue"/>
    <w:basedOn w:val="List"/>
    <w:rsid w:val="00184779"/>
    <w:pPr>
      <w:ind w:firstLine="0"/>
    </w:pPr>
  </w:style>
  <w:style w:type="paragraph" w:customStyle="1" w:styleId="ListNote">
    <w:name w:val="List Note"/>
    <w:basedOn w:val="List"/>
    <w:rsid w:val="00184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779"/>
    <w:rPr>
      <w:rFonts w:ascii="Courier New" w:hAnsi="Courier New"/>
    </w:rPr>
  </w:style>
  <w:style w:type="paragraph" w:customStyle="1" w:styleId="NoteBullet">
    <w:name w:val="Note Bullet"/>
    <w:basedOn w:val="Note"/>
    <w:rsid w:val="00184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7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779"/>
    <w:rPr>
      <w:b/>
      <w:smallCaps/>
    </w:rPr>
  </w:style>
  <w:style w:type="paragraph" w:customStyle="1" w:styleId="TableListNumber">
    <w:name w:val="Table List Number"/>
    <w:basedOn w:val="ListNumber"/>
    <w:rsid w:val="00184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779"/>
    <w:pPr>
      <w:numPr>
        <w:numId w:val="8"/>
      </w:numPr>
    </w:pPr>
  </w:style>
  <w:style w:type="paragraph" w:customStyle="1" w:styleId="ListAlpha2">
    <w:name w:val="List Alpha 2"/>
    <w:basedOn w:val="List2"/>
    <w:rsid w:val="00184779"/>
    <w:pPr>
      <w:numPr>
        <w:numId w:val="7"/>
      </w:numPr>
    </w:pPr>
  </w:style>
  <w:style w:type="paragraph" w:styleId="List2">
    <w:name w:val="List 2"/>
    <w:basedOn w:val="BodyText"/>
    <w:rsid w:val="00184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7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7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779"/>
    <w:pPr>
      <w:numPr>
        <w:numId w:val="3"/>
      </w:numPr>
    </w:pPr>
  </w:style>
  <w:style w:type="paragraph" w:styleId="ListContinue2">
    <w:name w:val="List Continue 2"/>
    <w:basedOn w:val="List2"/>
    <w:rsid w:val="00184779"/>
    <w:pPr>
      <w:ind w:firstLine="0"/>
    </w:pPr>
  </w:style>
  <w:style w:type="paragraph" w:styleId="ListContinue3">
    <w:name w:val="List Continue 3"/>
    <w:basedOn w:val="List3"/>
    <w:rsid w:val="00184779"/>
    <w:pPr>
      <w:ind w:left="1021" w:firstLine="0"/>
    </w:pPr>
  </w:style>
  <w:style w:type="paragraph" w:styleId="ListContinue4">
    <w:name w:val="List Continue 4"/>
    <w:basedOn w:val="List4"/>
    <w:rsid w:val="00184779"/>
    <w:pPr>
      <w:ind w:firstLine="0"/>
    </w:pPr>
  </w:style>
  <w:style w:type="paragraph" w:styleId="ListContinue5">
    <w:name w:val="List Continue 5"/>
    <w:basedOn w:val="List5"/>
    <w:rsid w:val="00184779"/>
    <w:pPr>
      <w:ind w:firstLine="0"/>
    </w:pPr>
  </w:style>
  <w:style w:type="paragraph" w:styleId="ListNumber3">
    <w:name w:val="List Number 3"/>
    <w:basedOn w:val="List3"/>
    <w:rsid w:val="00184779"/>
    <w:pPr>
      <w:numPr>
        <w:numId w:val="4"/>
      </w:numPr>
    </w:pPr>
  </w:style>
  <w:style w:type="paragraph" w:styleId="ListNumber4">
    <w:name w:val="List Number 4"/>
    <w:basedOn w:val="List4"/>
    <w:rsid w:val="00184779"/>
    <w:pPr>
      <w:numPr>
        <w:numId w:val="5"/>
      </w:numPr>
    </w:pPr>
  </w:style>
  <w:style w:type="paragraph" w:styleId="ListNumber5">
    <w:name w:val="List Number 5"/>
    <w:basedOn w:val="List5"/>
    <w:rsid w:val="00184779"/>
    <w:pPr>
      <w:numPr>
        <w:numId w:val="6"/>
      </w:numPr>
    </w:pPr>
  </w:style>
  <w:style w:type="paragraph" w:styleId="BlockText">
    <w:name w:val="Block Text"/>
    <w:basedOn w:val="Normal"/>
    <w:rsid w:val="00184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779"/>
    <w:rPr>
      <w:sz w:val="16"/>
      <w:vertAlign w:val="superscript"/>
    </w:rPr>
  </w:style>
  <w:style w:type="character" w:customStyle="1" w:styleId="Symbols">
    <w:name w:val="Symbols"/>
    <w:basedOn w:val="DefaultParagraphFont"/>
    <w:rsid w:val="00184779"/>
    <w:rPr>
      <w:rFonts w:ascii="Symbol" w:hAnsi="Symbol"/>
    </w:rPr>
  </w:style>
  <w:style w:type="character" w:customStyle="1" w:styleId="MenuOptions">
    <w:name w:val="Menu Options"/>
    <w:basedOn w:val="DefaultParagraphFont"/>
    <w:rsid w:val="00184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779"/>
    <w:rPr>
      <w:b/>
    </w:rPr>
  </w:style>
  <w:style w:type="character" w:customStyle="1" w:styleId="Underlined">
    <w:name w:val="Underlined"/>
    <w:basedOn w:val="DefaultParagraphFont"/>
    <w:rsid w:val="00184779"/>
    <w:rPr>
      <w:u w:val="single"/>
    </w:rPr>
  </w:style>
  <w:style w:type="paragraph" w:customStyle="1" w:styleId="TableBodyTextRight">
    <w:name w:val="Table Body Text Right"/>
    <w:basedOn w:val="TableBodyText"/>
    <w:rsid w:val="00184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779"/>
    <w:rPr>
      <w:sz w:val="18"/>
    </w:rPr>
  </w:style>
  <w:style w:type="paragraph" w:customStyle="1" w:styleId="BodySmallRight">
    <w:name w:val="Body Small Right"/>
    <w:basedOn w:val="BodyTextRight"/>
    <w:rsid w:val="00184779"/>
    <w:rPr>
      <w:sz w:val="18"/>
      <w:szCs w:val="18"/>
    </w:rPr>
  </w:style>
  <w:style w:type="paragraph" w:customStyle="1" w:styleId="MarginEdition">
    <w:name w:val="Margin Edition"/>
    <w:basedOn w:val="MarginNote"/>
    <w:rsid w:val="00184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779"/>
    <w:rPr>
      <w:sz w:val="2"/>
      <w:szCs w:val="2"/>
    </w:rPr>
  </w:style>
  <w:style w:type="character" w:customStyle="1" w:styleId="Small">
    <w:name w:val="Small"/>
    <w:basedOn w:val="DefaultParagraphFont"/>
    <w:rsid w:val="00184779"/>
    <w:rPr>
      <w:sz w:val="16"/>
    </w:rPr>
  </w:style>
  <w:style w:type="paragraph" w:customStyle="1" w:styleId="WideTable">
    <w:name w:val="Wide Table"/>
    <w:basedOn w:val="Normal"/>
    <w:rsid w:val="00184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779"/>
  </w:style>
  <w:style w:type="paragraph" w:styleId="Quote">
    <w:name w:val="Quote"/>
    <w:basedOn w:val="Heading1"/>
    <w:link w:val="QuoteChar"/>
    <w:qFormat/>
    <w:rsid w:val="00184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779"/>
    <w:pPr>
      <w:pageBreakBefore/>
    </w:pPr>
  </w:style>
  <w:style w:type="paragraph" w:customStyle="1" w:styleId="Border">
    <w:name w:val="Border"/>
    <w:basedOn w:val="Normal"/>
    <w:qFormat/>
    <w:rsid w:val="00184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779"/>
    <w:rPr>
      <w:u w:val="single"/>
    </w:rPr>
  </w:style>
  <w:style w:type="character" w:customStyle="1" w:styleId="BoldandItalics">
    <w:name w:val="Bold and Italics"/>
    <w:qFormat/>
    <w:rsid w:val="00184779"/>
    <w:rPr>
      <w:b/>
      <w:i/>
      <w:u w:val="none"/>
    </w:rPr>
  </w:style>
  <w:style w:type="paragraph" w:styleId="BalloonText">
    <w:name w:val="Balloon Text"/>
    <w:basedOn w:val="Normal"/>
    <w:link w:val="BalloonTextChar"/>
    <w:rsid w:val="00184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779"/>
    <w:pPr>
      <w:spacing w:before="0" w:after="0"/>
    </w:pPr>
  </w:style>
  <w:style w:type="paragraph" w:customStyle="1" w:styleId="BodyTextBold">
    <w:name w:val="Body Text Bold"/>
    <w:basedOn w:val="BodyText"/>
    <w:qFormat/>
    <w:rsid w:val="00184779"/>
    <w:rPr>
      <w:b/>
    </w:rPr>
  </w:style>
  <w:style w:type="character" w:styleId="Hyperlink">
    <w:name w:val="Hyperlink"/>
    <w:basedOn w:val="DefaultParagraphFont"/>
    <w:uiPriority w:val="99"/>
    <w:unhideWhenUsed/>
    <w:rsid w:val="00B64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3132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DEFEXO112 Detect, record and collect evidence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