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8EC" w:rsidP="00A438EC">
      <w:pPr>
        <w:pStyle w:val="Title"/>
      </w:pPr>
      <w:r>
        <w:fldChar w:fldCharType="begin"/>
      </w:r>
      <w:r>
        <w:instrText xml:space="preserve"> TITLE   \* MERGEFORMAT </w:instrText>
      </w:r>
      <w:r>
        <w:fldChar w:fldCharType="separate"/>
      </w:r>
      <w:r>
        <w:t>DEFEXO106 Conduct explosive ordnance disposal operations</w:t>
      </w:r>
      <w:r>
        <w:fldChar w:fldCharType="end"/>
      </w:r>
    </w:p>
    <w:p w:rsidR="00A438EC" w:rsidP="00A438EC">
      <w:pPr>
        <w:pStyle w:val="Version"/>
        <w:sectPr w:rsidSect="00074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74B81" w:rsidP="00074B81">
      <w:pPr>
        <w:pStyle w:val="SuperHeading"/>
      </w:pPr>
      <w:r w:rsidRPr="00074B81">
        <w:t>DEFEXO106 Conduct explosive ordnance disposal operations</w:t>
      </w:r>
    </w:p>
    <w:p w:rsidR="00000000" w:rsidRPr="00074B81" w:rsidP="00074B81">
      <w:pPr>
        <w:pStyle w:val="Heading1"/>
      </w:pPr>
      <w:bookmarkStart w:id="1" w:name="O_1283044"/>
      <w:bookmarkEnd w:id="1"/>
      <w:r w:rsidRPr="00074B81">
        <w:t>Modification History</w:t>
      </w:r>
    </w:p>
    <w:tbl>
      <w:tblPr>
        <w:tblW w:w="9497" w:type="dxa"/>
        <w:tblLayout w:type="fixed"/>
        <w:tblCellMar>
          <w:left w:w="62" w:type="dxa"/>
          <w:right w:w="62" w:type="dxa"/>
        </w:tblCellMar>
        <w:tblLook w:val="0000"/>
      </w:tblPr>
      <w:tblGrid>
        <w:gridCol w:w="9497"/>
      </w:tblGrid>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Release 3. Assessment Conditions clarified in relation to simulation being an assessment option.</w:t>
            </w:r>
          </w:p>
        </w:tc>
      </w:tr>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Release 2. Modifications made to Foundation Skills and Assessment Conditions.</w:t>
            </w:r>
          </w:p>
        </w:tc>
      </w:tr>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t>Release 1. This unit was released in DEF</w:t>
            </w:r>
            <w:r w:rsidRPr="00074B81">
              <w:t xml:space="preserve"> Defence Training Package release 1.0 and meets the Standards for Training Packages.</w:t>
            </w:r>
          </w:p>
          <w:p w:rsidR="00000000" w:rsidRPr="00074B81" w:rsidP="00074B81">
            <w:pPr>
              <w:pStyle w:val="BodyText"/>
            </w:pPr>
            <w:r w:rsidRPr="00074B81">
              <w:t>This unit supersedes and is equivalent to DEFEO707C Conduct explosive ordnance disposal operations.</w:t>
            </w:r>
          </w:p>
          <w:p w:rsidR="00000000" w:rsidRPr="00074B81" w:rsidP="00074B81">
            <w:pPr>
              <w:pStyle w:val="ListBullet"/>
            </w:pPr>
            <w:r w:rsidRPr="00074B81">
              <w:t>Unit code updated</w:t>
            </w:r>
          </w:p>
          <w:p w:rsidR="00000000" w:rsidRPr="00074B81" w:rsidP="00074B81">
            <w:pPr>
              <w:pStyle w:val="ListBullet"/>
            </w:pPr>
            <w:r w:rsidRPr="00074B81">
              <w:t>Content and formatting updated to comply with the ne</w:t>
            </w:r>
            <w:r w:rsidRPr="00074B81">
              <w:t>w standards</w:t>
            </w:r>
          </w:p>
          <w:p w:rsidR="00000000" w:rsidRPr="00074B81" w:rsidP="00074B81">
            <w:pPr>
              <w:pStyle w:val="ListBullet"/>
            </w:pPr>
            <w:r w:rsidRPr="00074B81">
              <w:t>All PC transitioned from passive to active voice</w:t>
            </w:r>
          </w:p>
          <w:p w:rsidR="00000000" w:rsidRPr="00074B81" w:rsidP="00074B81">
            <w:pPr>
              <w:pStyle w:val="ListBullet"/>
            </w:pPr>
            <w:r w:rsidRPr="00074B81">
              <w:t>PC 3.3 removed</w:t>
            </w:r>
          </w:p>
        </w:tc>
      </w:tr>
    </w:tbl>
    <w:p w:rsidR="00A438EC" w:rsidP="00074B81">
      <w:pPr>
        <w:pStyle w:val="NoPaddingFontSize1"/>
      </w:pPr>
    </w:p>
    <w:p w:rsidR="00A438EC" w:rsidP="00074B81">
      <w:pPr>
        <w:pStyle w:val="NoPaddingFontSize1"/>
      </w:pPr>
    </w:p>
    <w:p w:rsidR="00000000" w:rsidRPr="00074B81" w:rsidP="00074B81">
      <w:pPr>
        <w:pStyle w:val="Heading1"/>
      </w:pPr>
      <w:bookmarkStart w:id="2" w:name="O_1283043"/>
      <w:bookmarkEnd w:id="2"/>
      <w:r w:rsidRPr="00074B81">
        <w:t>Application</w:t>
      </w:r>
    </w:p>
    <w:tbl>
      <w:tblPr>
        <w:tblW w:w="9497" w:type="dxa"/>
        <w:tblLayout w:type="fixed"/>
        <w:tblCellMar>
          <w:left w:w="62" w:type="dxa"/>
          <w:right w:w="62" w:type="dxa"/>
        </w:tblCellMar>
        <w:tblLook w:val="0000"/>
      </w:tblPr>
      <w:tblGrid>
        <w:gridCol w:w="9497"/>
      </w:tblGrid>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t>This unit describes the skills required to conduct explosive ordnance location, identification and disposal operations. Explosive ordnance disposal operations can be conducted under a variety of conditions, including wartime, peacekeeping, in support of th</w:t>
            </w:r>
            <w:r w:rsidRPr="00074B81">
              <w:t xml:space="preserve">e civilian community/ authority, as part of a joint services and/or coalition operation and also in training. This unit can apply above and below the high water mark. </w:t>
            </w:r>
          </w:p>
          <w:p w:rsidR="00000000" w:rsidRPr="00074B81" w:rsidP="00074B81">
            <w:pPr>
              <w:pStyle w:val="BodyText"/>
            </w:pPr>
            <w:r w:rsidRPr="00074B81">
              <w:t>This unit applies to those who are required to conduct explosive ordnance location, iden</w:t>
            </w:r>
            <w:r w:rsidRPr="00074B81">
              <w:t>tification and disposal operations.</w:t>
            </w:r>
          </w:p>
          <w:p w:rsidR="00000000" w:rsidRPr="00074B81" w:rsidP="00074B81">
            <w:pPr>
              <w:pStyle w:val="BodyText"/>
            </w:pPr>
            <w:r w:rsidRPr="00074B81">
              <w:t>The skills and knowledge described in this unit must be applied within the legislative, regulatory and policy environment in which they are carried out. Organisational policies and procedures must be consulted and adhere</w:t>
            </w:r>
            <w:r w:rsidRPr="00074B81">
              <w:t>d to.</w:t>
            </w:r>
          </w:p>
          <w:p w:rsidR="00000000" w:rsidRPr="00074B81" w:rsidP="00074B81">
            <w:pPr>
              <w:pStyle w:val="BodyText"/>
            </w:pPr>
            <w:r w:rsidRPr="00074B81">
              <w:t>Those undertaking this unit would work independently and supervise others, using discretion and judgement and taking responsibility for the quality of their outputs. They would perform complex tasks in a broad range of contexts that could be unpredic</w:t>
            </w:r>
            <w:r w:rsidRPr="00074B81">
              <w:t>table.</w:t>
            </w:r>
          </w:p>
          <w:p w:rsidR="00000000" w:rsidRPr="00074B81" w:rsidP="00074B81">
            <w:pPr>
              <w:pStyle w:val="BodyText"/>
            </w:pPr>
            <w:r w:rsidRPr="00074B81">
              <w:t>No licensing, legislative or certification requirements apply to unit at the time of publication.</w:t>
            </w:r>
          </w:p>
        </w:tc>
      </w:tr>
    </w:tbl>
    <w:p w:rsidR="00A438EC" w:rsidP="00074B81">
      <w:pPr>
        <w:pStyle w:val="NoPaddingFontSize1"/>
      </w:pPr>
    </w:p>
    <w:p w:rsidR="00A438EC" w:rsidP="00074B81">
      <w:pPr>
        <w:pStyle w:val="NoPaddingFontSize1"/>
      </w:pPr>
    </w:p>
    <w:p w:rsidR="00000000" w:rsidRPr="00074B81" w:rsidP="00074B81">
      <w:pPr>
        <w:pStyle w:val="Heading1"/>
      </w:pPr>
      <w:bookmarkStart w:id="3" w:name="O_1283042"/>
      <w:bookmarkEnd w:id="3"/>
      <w:r w:rsidRPr="00074B81">
        <w:t>Pre-requisite Unit</w:t>
      </w:r>
    </w:p>
    <w:tbl>
      <w:tblPr>
        <w:tblW w:w="9497" w:type="dxa"/>
        <w:tblLayout w:type="fixed"/>
        <w:tblCellMar>
          <w:left w:w="62" w:type="dxa"/>
          <w:right w:w="62" w:type="dxa"/>
        </w:tblCellMar>
        <w:tblLook w:val="0000"/>
      </w:tblPr>
      <w:tblGrid>
        <w:gridCol w:w="9497"/>
      </w:tblGrid>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t>Not applicable</w:t>
            </w:r>
          </w:p>
        </w:tc>
      </w:tr>
    </w:tbl>
    <w:p w:rsidR="00A438EC" w:rsidP="00074B81">
      <w:pPr>
        <w:pStyle w:val="NoPaddingFontSize1"/>
      </w:pPr>
    </w:p>
    <w:p w:rsidR="00A438EC" w:rsidP="00074B81">
      <w:pPr>
        <w:pStyle w:val="NoPaddingFontSize1"/>
      </w:pPr>
    </w:p>
    <w:p w:rsidR="00000000" w:rsidRPr="00074B81" w:rsidP="00074B81">
      <w:pPr>
        <w:pStyle w:val="Heading1"/>
      </w:pPr>
      <w:bookmarkStart w:id="4" w:name="O_1283041"/>
      <w:bookmarkEnd w:id="4"/>
      <w:r w:rsidRPr="00074B81">
        <w:t>Competency Field</w:t>
      </w:r>
    </w:p>
    <w:tbl>
      <w:tblPr>
        <w:tblW w:w="9497" w:type="dxa"/>
        <w:tblLayout w:type="fixed"/>
        <w:tblCellMar>
          <w:left w:w="62" w:type="dxa"/>
          <w:right w:w="62" w:type="dxa"/>
        </w:tblCellMar>
        <w:tblLook w:val="0000"/>
      </w:tblPr>
      <w:tblGrid>
        <w:gridCol w:w="9497"/>
      </w:tblGrid>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t>Explosive Ordnance</w:t>
            </w:r>
          </w:p>
        </w:tc>
      </w:tr>
    </w:tbl>
    <w:p w:rsidR="00A438EC" w:rsidP="00074B81">
      <w:pPr>
        <w:pStyle w:val="NoPaddingFontSize1"/>
      </w:pPr>
    </w:p>
    <w:p w:rsidR="00A438EC" w:rsidP="00074B81">
      <w:pPr>
        <w:pStyle w:val="NoPaddingFontSize1"/>
      </w:pPr>
    </w:p>
    <w:p w:rsidR="00000000" w:rsidRPr="00074B81" w:rsidP="00074B81">
      <w:pPr>
        <w:pStyle w:val="Heading1"/>
      </w:pPr>
      <w:bookmarkStart w:id="5" w:name="O_1283040"/>
      <w:bookmarkEnd w:id="5"/>
      <w:r w:rsidRPr="00074B81">
        <w:t>Unit Sector</w:t>
      </w:r>
    </w:p>
    <w:tbl>
      <w:tblPr>
        <w:tblW w:w="9497" w:type="dxa"/>
        <w:tblLayout w:type="fixed"/>
        <w:tblCellMar>
          <w:left w:w="62" w:type="dxa"/>
          <w:right w:w="62" w:type="dxa"/>
        </w:tblCellMar>
        <w:tblLook w:val="0000"/>
      </w:tblPr>
      <w:tblGrid>
        <w:gridCol w:w="9497"/>
      </w:tblGrid>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t>Not applicable</w:t>
            </w:r>
          </w:p>
        </w:tc>
      </w:tr>
    </w:tbl>
    <w:p w:rsidR="00A438EC" w:rsidP="00074B81">
      <w:pPr>
        <w:pStyle w:val="NoPaddingFontSize1"/>
      </w:pPr>
    </w:p>
    <w:p w:rsidR="00A438EC" w:rsidP="00074B81">
      <w:pPr>
        <w:pStyle w:val="NoPaddingFontSize1"/>
      </w:pPr>
    </w:p>
    <w:p w:rsidR="00000000" w:rsidRPr="00074B81" w:rsidP="00074B81">
      <w:pPr>
        <w:pStyle w:val="Heading1"/>
      </w:pPr>
      <w:bookmarkStart w:id="6" w:name="O_1283039"/>
      <w:bookmarkEnd w:id="6"/>
      <w:r w:rsidRPr="00074B8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74B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PERFORMANCE CRITERIA</w:t>
            </w:r>
          </w:p>
        </w:tc>
      </w:tr>
      <w:tr w:rsidTr="00074B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Performance criteria describe the performance needed to demonstrate achievement of the element.</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Collect, store and check for presence and serviceability equipment, tools and stores required for explosive ordnance demolitions operations</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Brief personnel required to participate on their duties and requirements</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Establish and maintain contact and liaison with other agencies</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Conduct planning prior to arrival at scene</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rPr>
                <w:rStyle w:val="SpecialBold"/>
              </w:rPr>
              <w:t>Locate and identify explosive ordnance and associated components</w:t>
            </w: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Locate explosive ordnance and associated components</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Identify exp</w:t>
            </w:r>
            <w:r w:rsidRPr="00074B81">
              <w:t>losive ordnance and associated components</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Advise controlling authority of safety and evacuation requirements</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Determine and plan method of conducting disposal/render safe procedure</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rPr>
                <w:rStyle w:val="SpecialBold"/>
              </w:rPr>
              <w:t>Conduct render safe procedures and/or dispose of explosive ordnance</w:t>
            </w: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Identify and prepare for use equipment, tools and stores to dispose of and/or render explosive ordnance safe</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Operate equipment</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Inspect explosive ordnance and immediate ar</w:t>
            </w:r>
            <w:r w:rsidRPr="00074B81">
              <w:t>ea and declare safe or plan alternate disposal operation</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rPr>
                <w:rStyle w:val="SpecialBold"/>
              </w:rPr>
              <w:t>Finalise activities</w:t>
            </w: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Recover, refurbish and secure equipment</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Conduct post explosive ordnance disposal clearance</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t>Complete and process explosive ordnance disposal reports</w:t>
            </w:r>
          </w:p>
        </w:tc>
      </w:tr>
      <w:tr w:rsidTr="00074B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4B8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4B81">
            <w:pPr>
              <w:pStyle w:val="BodyText"/>
              <w:rPr>
                <w:lang w:val="en-NZ"/>
              </w:rPr>
            </w:pPr>
            <w:r w:rsidRPr="00074B8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t>Provide technical evidence to inquiries/courts</w:t>
            </w:r>
          </w:p>
        </w:tc>
      </w:tr>
    </w:tbl>
    <w:p w:rsidR="00A438EC" w:rsidP="00074B81">
      <w:pPr>
        <w:pStyle w:val="NoPaddingFontSize1"/>
      </w:pPr>
    </w:p>
    <w:p w:rsidR="00A438EC" w:rsidP="00074B81">
      <w:pPr>
        <w:pStyle w:val="NoPaddingFontSize1"/>
      </w:pPr>
    </w:p>
    <w:p w:rsidR="00000000" w:rsidRPr="00074B81" w:rsidP="00074B81">
      <w:pPr>
        <w:pStyle w:val="Heading1"/>
      </w:pPr>
      <w:bookmarkStart w:id="7" w:name="O_1283038"/>
      <w:bookmarkEnd w:id="7"/>
      <w:r w:rsidRPr="00074B81">
        <w:t>Foundation Skills</w:t>
      </w:r>
    </w:p>
    <w:tbl>
      <w:tblPr>
        <w:tblW w:w="9497" w:type="dxa"/>
        <w:tblLayout w:type="fixed"/>
        <w:tblCellMar>
          <w:left w:w="62" w:type="dxa"/>
          <w:right w:w="62" w:type="dxa"/>
        </w:tblCellMar>
        <w:tblLook w:val="0000"/>
      </w:tblPr>
      <w:tblGrid>
        <w:gridCol w:w="9497"/>
      </w:tblGrid>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t xml:space="preserve">Foundation skills essential to performance are explicit in the performance criteria of this unit of competency. </w:t>
            </w:r>
          </w:p>
        </w:tc>
      </w:tr>
    </w:tbl>
    <w:p w:rsidR="00A438EC" w:rsidP="00074B81">
      <w:pPr>
        <w:pStyle w:val="NoPaddingFontSize1"/>
      </w:pPr>
    </w:p>
    <w:p w:rsidR="00A438EC" w:rsidP="00074B81">
      <w:pPr>
        <w:pStyle w:val="NoPaddingFontSize1"/>
      </w:pPr>
    </w:p>
    <w:p w:rsidR="00000000" w:rsidRPr="00074B81" w:rsidP="00074B81">
      <w:pPr>
        <w:pStyle w:val="Heading1"/>
      </w:pPr>
      <w:bookmarkStart w:id="8" w:name="O_1283037"/>
      <w:bookmarkEnd w:id="8"/>
      <w:r w:rsidRPr="00074B81">
        <w:t>Range of Conditions</w:t>
      </w:r>
    </w:p>
    <w:tbl>
      <w:tblPr>
        <w:tblW w:w="9497" w:type="dxa"/>
        <w:tblLayout w:type="fixed"/>
        <w:tblCellMar>
          <w:left w:w="62" w:type="dxa"/>
          <w:right w:w="62" w:type="dxa"/>
        </w:tblCellMar>
        <w:tblLook w:val="0000"/>
      </w:tblPr>
      <w:tblGrid>
        <w:gridCol w:w="9497"/>
      </w:tblGrid>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t>Range is restricted to essential operating conditions and any other variables essential to the work environment.</w:t>
            </w:r>
          </w:p>
          <w:p w:rsidR="00000000" w:rsidRPr="00074B81" w:rsidP="00074B81">
            <w:pPr>
              <w:pStyle w:val="BodyText"/>
            </w:pPr>
            <w:r w:rsidRPr="00074B81">
              <w:t>Non-essential conditions may be found in the Companion Volume Implementation Guide.</w:t>
            </w:r>
          </w:p>
        </w:tc>
      </w:tr>
    </w:tbl>
    <w:p w:rsidR="00A438EC" w:rsidP="00074B81">
      <w:pPr>
        <w:pStyle w:val="NoPaddingFontSize1"/>
      </w:pPr>
    </w:p>
    <w:p w:rsidR="00A438EC" w:rsidP="00074B81">
      <w:pPr>
        <w:pStyle w:val="NoPaddingFontSize1"/>
      </w:pPr>
    </w:p>
    <w:p w:rsidR="00000000" w:rsidRPr="00074B81" w:rsidP="00074B81">
      <w:pPr>
        <w:pStyle w:val="Heading1"/>
      </w:pPr>
      <w:bookmarkStart w:id="9" w:name="O_1283036"/>
      <w:bookmarkEnd w:id="9"/>
      <w:r w:rsidRPr="00074B81">
        <w:t>Unit Mapping Information</w:t>
      </w:r>
    </w:p>
    <w:tbl>
      <w:tblPr>
        <w:tblW w:w="9497" w:type="dxa"/>
        <w:tblLayout w:type="fixed"/>
        <w:tblCellMar>
          <w:left w:w="62" w:type="dxa"/>
          <w:right w:w="62" w:type="dxa"/>
        </w:tblCellMar>
        <w:tblLook w:val="0000"/>
      </w:tblPr>
      <w:tblGrid>
        <w:gridCol w:w="9497"/>
      </w:tblGrid>
      <w:tr w:rsidTr="00074B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B81" w:rsidP="00074B81">
            <w:pPr>
              <w:pStyle w:val="BodyText"/>
            </w:pPr>
            <w:r w:rsidRPr="00074B81">
              <w:t>This unit su</w:t>
            </w:r>
            <w:r w:rsidRPr="00074B81">
              <w:t>persedes and is equivalent to DEFEO707C Conduct explosive ordnance disposal operations.</w:t>
            </w:r>
          </w:p>
        </w:tc>
      </w:tr>
    </w:tbl>
    <w:p w:rsidR="00A438EC" w:rsidP="00074B81">
      <w:pPr>
        <w:pStyle w:val="NoPaddingFontSize1"/>
      </w:pPr>
    </w:p>
    <w:p w:rsidR="00A438EC" w:rsidP="00074B81">
      <w:pPr>
        <w:pStyle w:val="NoPaddingFontSize1"/>
      </w:pPr>
    </w:p>
    <w:p w:rsidR="00000000" w:rsidRPr="00074B81" w:rsidP="00074B81">
      <w:pPr>
        <w:pStyle w:val="Heading1"/>
      </w:pPr>
      <w:bookmarkStart w:id="10" w:name="O_1284099"/>
      <w:bookmarkEnd w:id="10"/>
      <w:r w:rsidRPr="00074B81">
        <w:t>Links</w:t>
      </w:r>
    </w:p>
    <w:p w:rsidR="00000000" w:rsidRPr="00074B81" w:rsidP="00A438EC">
      <w:pPr>
        <w:pStyle w:val="BodyText"/>
      </w:pPr>
      <w:r w:rsidRPr="00074B8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14A4C">
        <w:rPr>
          <w:rStyle w:val="Hyperlink"/>
        </w:rPr>
        <w:t>https://vetnet.gov.au/Pages/TrainingDocs.aspx?q=6bdbab1e-11ed-4bc9-9cba-9e1a55d4e4a9</w:t>
      </w:r>
      <w:r>
        <w:fldChar w:fldCharType="end"/>
      </w:r>
    </w:p>
    <w:p w:rsidR="00000000" w:rsidRPr="00074B81" w:rsidP="00074B81"/>
    <w:sectPr w:rsidSect="00074B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81" w:rsidRPr="00A438EC" w:rsidP="00A43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EC" w:rsidP="00074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8EC" w:rsidP="00074B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438EC" w:rsidP="00074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B81" w:rsidRPr="00A438EC" w:rsidP="00A43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EC" w:rsidRPr="002D2AF8" w:rsidP="00074B81">
    <w:pPr>
      <w:pStyle w:val="Header"/>
      <w:framePr w:wrap="around"/>
    </w:pPr>
    <w:r>
      <w:fldChar w:fldCharType="begin"/>
    </w:r>
    <w:r>
      <w:instrText xml:space="preserve"> TITLE   \* MERGEFORMAT </w:instrText>
    </w:r>
    <w:r>
      <w:fldChar w:fldCharType="separate"/>
    </w:r>
    <w:r>
      <w:t>DEFEXO106 Conduct explosive ordnance disposal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438EC" w:rsidP="00074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FAE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B26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B81"/>
    <w:pPr>
      <w:spacing w:before="360" w:after="60"/>
      <w:outlineLvl w:val="0"/>
    </w:pPr>
    <w:rPr>
      <w:sz w:val="32"/>
    </w:rPr>
  </w:style>
  <w:style w:type="paragraph" w:styleId="Heading2">
    <w:name w:val="heading 2"/>
    <w:basedOn w:val="HeadingBase"/>
    <w:next w:val="BodyText"/>
    <w:link w:val="Heading2Char"/>
    <w:qFormat/>
    <w:rsid w:val="00074B81"/>
    <w:pPr>
      <w:keepLines/>
      <w:spacing w:before="240" w:after="120"/>
      <w:outlineLvl w:val="1"/>
    </w:pPr>
    <w:rPr>
      <w:sz w:val="28"/>
      <w:szCs w:val="40"/>
    </w:rPr>
  </w:style>
  <w:style w:type="paragraph" w:styleId="Heading3">
    <w:name w:val="heading 3"/>
    <w:basedOn w:val="HeadingBase"/>
    <w:next w:val="BodyText"/>
    <w:link w:val="Heading3Char"/>
    <w:qFormat/>
    <w:rsid w:val="00074B81"/>
    <w:pPr>
      <w:spacing w:before="180" w:after="120"/>
      <w:outlineLvl w:val="2"/>
    </w:pPr>
    <w:rPr>
      <w:spacing w:val="-10"/>
      <w:kern w:val="32"/>
    </w:rPr>
  </w:style>
  <w:style w:type="paragraph" w:styleId="Heading4">
    <w:name w:val="heading 4"/>
    <w:basedOn w:val="HeadingBase"/>
    <w:next w:val="BodyText"/>
    <w:link w:val="Heading4Char"/>
    <w:qFormat/>
    <w:rsid w:val="00074B81"/>
    <w:pPr>
      <w:spacing w:before="160" w:after="120"/>
      <w:outlineLvl w:val="3"/>
    </w:pPr>
    <w:rPr>
      <w:sz w:val="22"/>
    </w:rPr>
  </w:style>
  <w:style w:type="paragraph" w:styleId="Heading5">
    <w:name w:val="heading 5"/>
    <w:basedOn w:val="HeadingBase"/>
    <w:next w:val="Normal"/>
    <w:link w:val="Heading5Char"/>
    <w:qFormat/>
    <w:rsid w:val="00074B81"/>
    <w:pPr>
      <w:spacing w:before="80"/>
      <w:outlineLvl w:val="4"/>
    </w:pPr>
    <w:rPr>
      <w:color w:val="918585"/>
      <w:sz w:val="20"/>
    </w:rPr>
  </w:style>
  <w:style w:type="paragraph" w:styleId="Heading6">
    <w:name w:val="heading 6"/>
    <w:basedOn w:val="HeadingBase"/>
    <w:next w:val="Normal"/>
    <w:link w:val="Heading6Char"/>
    <w:qFormat/>
    <w:rsid w:val="00074B81"/>
    <w:pPr>
      <w:spacing w:before="60"/>
      <w:outlineLvl w:val="5"/>
    </w:pPr>
    <w:rPr>
      <w:color w:val="918585"/>
      <w:sz w:val="20"/>
    </w:rPr>
  </w:style>
  <w:style w:type="paragraph" w:styleId="Heading7">
    <w:name w:val="heading 7"/>
    <w:basedOn w:val="Normal"/>
    <w:next w:val="Normal"/>
    <w:link w:val="Heading7Char"/>
    <w:qFormat/>
    <w:rsid w:val="00074B81"/>
    <w:pPr>
      <w:ind w:left="720"/>
      <w:outlineLvl w:val="6"/>
    </w:pPr>
    <w:rPr>
      <w:i/>
    </w:rPr>
  </w:style>
  <w:style w:type="paragraph" w:styleId="Heading8">
    <w:name w:val="heading 8"/>
    <w:basedOn w:val="Normal"/>
    <w:next w:val="Normal"/>
    <w:link w:val="Heading8Char"/>
    <w:qFormat/>
    <w:rsid w:val="00074B81"/>
    <w:pPr>
      <w:ind w:left="720"/>
      <w:outlineLvl w:val="7"/>
    </w:pPr>
    <w:rPr>
      <w:i/>
    </w:rPr>
  </w:style>
  <w:style w:type="paragraph" w:styleId="Heading9">
    <w:name w:val="heading 9"/>
    <w:basedOn w:val="Normal"/>
    <w:next w:val="Normal"/>
    <w:link w:val="Heading9Char"/>
    <w:qFormat/>
    <w:rsid w:val="00074B81"/>
    <w:pPr>
      <w:ind w:left="720"/>
      <w:outlineLvl w:val="8"/>
    </w:pPr>
    <w:rPr>
      <w:i/>
    </w:rPr>
  </w:style>
  <w:style w:type="character" w:default="1" w:styleId="DefaultParagraphFont">
    <w:name w:val="Default Paragraph Font"/>
    <w:uiPriority w:val="1"/>
    <w:unhideWhenUsed/>
    <w:rsid w:val="00074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B81"/>
  </w:style>
  <w:style w:type="character" w:customStyle="1" w:styleId="Heading1Char">
    <w:name w:val="Heading 1 Char"/>
    <w:basedOn w:val="DefaultParagraphFont"/>
    <w:link w:val="Heading1"/>
    <w:rsid w:val="00074B81"/>
    <w:rPr>
      <w:rFonts w:ascii="Times New Roman" w:eastAsia="Times New Roman" w:hAnsi="Times New Roman" w:cs="Times New Roman"/>
      <w:b/>
      <w:sz w:val="32"/>
      <w:szCs w:val="20"/>
      <w:lang w:eastAsia="en-US"/>
    </w:rPr>
  </w:style>
  <w:style w:type="paragraph" w:styleId="BodyText">
    <w:name w:val="Body Text"/>
    <w:basedOn w:val="Normal"/>
    <w:link w:val="BodyTextChar"/>
    <w:rsid w:val="00074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B81"/>
    <w:rPr>
      <w:rFonts w:ascii="Times New Roman" w:eastAsia="Times New Roman" w:hAnsi="Times New Roman" w:cs="Times New Roman"/>
      <w:sz w:val="24"/>
      <w:lang w:eastAsia="en-US"/>
    </w:rPr>
  </w:style>
  <w:style w:type="paragraph" w:styleId="ListBullet">
    <w:name w:val="List Bullet"/>
    <w:basedOn w:val="List"/>
    <w:rsid w:val="00074B81"/>
    <w:pPr>
      <w:numPr>
        <w:numId w:val="11"/>
      </w:numPr>
      <w:tabs>
        <w:tab w:val="clear" w:pos="340"/>
      </w:tabs>
      <w:spacing w:before="40" w:after="40"/>
    </w:pPr>
  </w:style>
  <w:style w:type="character" w:customStyle="1" w:styleId="SpecialBold">
    <w:name w:val="Special Bold"/>
    <w:basedOn w:val="DefaultParagraphFont"/>
    <w:rsid w:val="00074B81"/>
    <w:rPr>
      <w:b/>
      <w:spacing w:val="0"/>
    </w:rPr>
  </w:style>
  <w:style w:type="paragraph" w:customStyle="1" w:styleId="SuperHeading">
    <w:name w:val="SuperHeading"/>
    <w:basedOn w:val="Normal"/>
    <w:rsid w:val="00074B81"/>
    <w:pPr>
      <w:spacing w:before="240" w:after="120"/>
      <w:outlineLvl w:val="0"/>
    </w:pPr>
    <w:rPr>
      <w:rFonts w:ascii="Times New Roman" w:hAnsi="Times New Roman"/>
      <w:b/>
      <w:sz w:val="32"/>
    </w:rPr>
  </w:style>
  <w:style w:type="paragraph" w:customStyle="1" w:styleId="AllowPageBreak">
    <w:name w:val="AllowPageBreak"/>
    <w:rsid w:val="00074B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4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B81"/>
    <w:rPr>
      <w:rFonts w:ascii="Courier New" w:eastAsia="Times New Roman" w:hAnsi="Courier New" w:cs="Times New Roman"/>
      <w:i/>
      <w:szCs w:val="20"/>
      <w:lang w:eastAsia="en-US"/>
    </w:rPr>
  </w:style>
  <w:style w:type="paragraph" w:customStyle="1" w:styleId="HeadingBase">
    <w:name w:val="Heading Base"/>
    <w:rsid w:val="00074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B81"/>
    <w:pPr>
      <w:tabs>
        <w:tab w:val="right" w:leader="dot" w:pos="9072"/>
      </w:tabs>
      <w:ind w:left="567"/>
    </w:pPr>
    <w:rPr>
      <w:szCs w:val="22"/>
    </w:rPr>
  </w:style>
  <w:style w:type="paragraph" w:customStyle="1" w:styleId="TOCBase">
    <w:name w:val="TOC Base"/>
    <w:rsid w:val="00074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B81"/>
    <w:pPr>
      <w:tabs>
        <w:tab w:val="right" w:leader="dot" w:pos="9072"/>
      </w:tabs>
      <w:spacing w:before="40" w:after="40"/>
      <w:ind w:left="284"/>
    </w:pPr>
    <w:rPr>
      <w:rFonts w:ascii="Times New Roman" w:hAnsi="Times New Roman"/>
    </w:rPr>
  </w:style>
  <w:style w:type="paragraph" w:styleId="TOC1">
    <w:name w:val="toc 1"/>
    <w:basedOn w:val="TOCBase"/>
    <w:next w:val="Normal"/>
    <w:rsid w:val="00074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B81"/>
    <w:rPr>
      <w:rFonts w:ascii="Times New Roman" w:eastAsia="Times New Roman" w:hAnsi="Times New Roman" w:cs="Times New Roman"/>
      <w:sz w:val="16"/>
      <w:lang w:eastAsia="en-US"/>
    </w:rPr>
  </w:style>
  <w:style w:type="paragraph" w:styleId="Title">
    <w:name w:val="Title"/>
    <w:basedOn w:val="HeadingBase"/>
    <w:link w:val="TitleChar"/>
    <w:qFormat/>
    <w:rsid w:val="00074B81"/>
    <w:pPr>
      <w:spacing w:before="5040"/>
      <w:jc w:val="center"/>
    </w:pPr>
    <w:rPr>
      <w:sz w:val="48"/>
      <w:szCs w:val="72"/>
      <w:lang w:val="en-US"/>
    </w:rPr>
  </w:style>
  <w:style w:type="character" w:customStyle="1" w:styleId="TitleChar">
    <w:name w:val="Title Char"/>
    <w:basedOn w:val="DefaultParagraphFont"/>
    <w:link w:val="Title"/>
    <w:rsid w:val="00074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B81"/>
    <w:pPr>
      <w:tabs>
        <w:tab w:val="left" w:pos="3600"/>
        <w:tab w:val="left" w:pos="3958"/>
      </w:tabs>
    </w:pPr>
  </w:style>
  <w:style w:type="paragraph" w:styleId="List">
    <w:name w:val="List"/>
    <w:basedOn w:val="BodyText"/>
    <w:next w:val="BodyText"/>
    <w:rsid w:val="00074B81"/>
    <w:pPr>
      <w:tabs>
        <w:tab w:val="left" w:pos="340"/>
      </w:tabs>
      <w:spacing w:before="60" w:after="60"/>
      <w:ind w:left="340" w:hanging="340"/>
    </w:pPr>
  </w:style>
  <w:style w:type="paragraph" w:customStyle="1" w:styleId="Note">
    <w:name w:val="Note"/>
    <w:basedOn w:val="BodyText"/>
    <w:rsid w:val="00074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B81"/>
    <w:pPr>
      <w:framePr w:wrap="auto" w:hAnchor="text" w:y="6049"/>
    </w:pPr>
    <w:rPr>
      <w:color w:val="000000"/>
      <w:sz w:val="40"/>
    </w:rPr>
  </w:style>
  <w:style w:type="paragraph" w:customStyle="1" w:styleId="TOCTitle">
    <w:name w:val="TOCTitle"/>
    <w:basedOn w:val="Heading1"/>
    <w:rsid w:val="00074B81"/>
    <w:pPr>
      <w:spacing w:after="240"/>
      <w:jc w:val="center"/>
      <w:outlineLvl w:val="9"/>
    </w:pPr>
    <w:rPr>
      <w:caps/>
    </w:rPr>
  </w:style>
  <w:style w:type="paragraph" w:customStyle="1" w:styleId="Version">
    <w:name w:val="Version"/>
    <w:rsid w:val="00074B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B81"/>
    <w:pPr>
      <w:numPr>
        <w:numId w:val="12"/>
      </w:numPr>
      <w:tabs>
        <w:tab w:val="clear" w:pos="680"/>
      </w:tabs>
    </w:pPr>
  </w:style>
  <w:style w:type="paragraph" w:styleId="Index1">
    <w:name w:val="index 1"/>
    <w:basedOn w:val="Normal"/>
    <w:next w:val="Normal"/>
    <w:semiHidden/>
    <w:rsid w:val="00074B81"/>
    <w:pPr>
      <w:keepNext w:val="0"/>
      <w:tabs>
        <w:tab w:val="right" w:pos="4176"/>
      </w:tabs>
      <w:ind w:left="198" w:hanging="198"/>
    </w:pPr>
    <w:rPr>
      <w:rFonts w:ascii="Garamond" w:hAnsi="Garamond"/>
    </w:rPr>
  </w:style>
  <w:style w:type="paragraph" w:styleId="IndexHeading">
    <w:name w:val="index heading"/>
    <w:basedOn w:val="Normal"/>
    <w:next w:val="Index1"/>
    <w:semiHidden/>
    <w:rsid w:val="00074B81"/>
    <w:pPr>
      <w:spacing w:before="120" w:after="120"/>
    </w:pPr>
    <w:rPr>
      <w:rFonts w:ascii="Arial" w:hAnsi="Arial"/>
      <w:b/>
      <w:color w:val="918585"/>
      <w:sz w:val="24"/>
    </w:rPr>
  </w:style>
  <w:style w:type="paragraph" w:styleId="Header">
    <w:name w:val="header"/>
    <w:basedOn w:val="Normal"/>
    <w:link w:val="HeaderChar"/>
    <w:rsid w:val="00074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B81"/>
    <w:rPr>
      <w:rFonts w:ascii="Times New Roman" w:eastAsia="Times New Roman" w:hAnsi="Times New Roman" w:cs="Times New Roman"/>
      <w:sz w:val="16"/>
      <w:szCs w:val="20"/>
      <w:lang w:val="en-GB" w:eastAsia="en-US"/>
    </w:rPr>
  </w:style>
  <w:style w:type="paragraph" w:customStyle="1" w:styleId="Chapter">
    <w:name w:val="Chapter"/>
    <w:basedOn w:val="Normal"/>
    <w:rsid w:val="00074B81"/>
    <w:pPr>
      <w:spacing w:before="240"/>
    </w:pPr>
    <w:rPr>
      <w:rFonts w:ascii="Times New Roman" w:hAnsi="Times New Roman"/>
      <w:smallCaps/>
      <w:spacing w:val="80"/>
      <w:sz w:val="28"/>
    </w:rPr>
  </w:style>
  <w:style w:type="paragraph" w:customStyle="1" w:styleId="InChapter">
    <w:name w:val="InChapter"/>
    <w:basedOn w:val="Heading3"/>
    <w:rsid w:val="00074B81"/>
    <w:pPr>
      <w:spacing w:after="240"/>
      <w:outlineLvl w:val="9"/>
    </w:pPr>
    <w:rPr>
      <w:noProof/>
    </w:rPr>
  </w:style>
  <w:style w:type="paragraph" w:styleId="Index2">
    <w:name w:val="index 2"/>
    <w:basedOn w:val="Normal"/>
    <w:next w:val="Normal"/>
    <w:semiHidden/>
    <w:rsid w:val="00074B81"/>
    <w:pPr>
      <w:tabs>
        <w:tab w:val="right" w:pos="4176"/>
      </w:tabs>
      <w:ind w:left="568" w:hanging="284"/>
    </w:pPr>
    <w:rPr>
      <w:rFonts w:ascii="Garamond" w:hAnsi="Garamond"/>
    </w:rPr>
  </w:style>
  <w:style w:type="paragraph" w:customStyle="1" w:styleId="Byline">
    <w:name w:val="Byline"/>
    <w:rsid w:val="00074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B81"/>
    <w:pPr>
      <w:tabs>
        <w:tab w:val="clear" w:pos="3600"/>
        <w:tab w:val="clear" w:pos="3958"/>
      </w:tabs>
      <w:jc w:val="right"/>
    </w:pPr>
  </w:style>
  <w:style w:type="character" w:styleId="Emphasis">
    <w:name w:val="Emphasis"/>
    <w:basedOn w:val="DefaultParagraphFont"/>
    <w:qFormat/>
    <w:rsid w:val="00074B81"/>
    <w:rPr>
      <w:i/>
    </w:rPr>
  </w:style>
  <w:style w:type="paragraph" w:styleId="Caption">
    <w:name w:val="caption"/>
    <w:basedOn w:val="BodyText"/>
    <w:next w:val="Normal"/>
    <w:qFormat/>
    <w:rsid w:val="00074B81"/>
    <w:pPr>
      <w:framePr w:w="2268" w:hSpace="181" w:vSpace="181" w:wrap="around" w:vAnchor="text" w:hAnchor="page" w:x="1135" w:y="285" w:anchorLock="1"/>
    </w:pPr>
    <w:rPr>
      <w:i/>
    </w:rPr>
  </w:style>
  <w:style w:type="paragraph" w:customStyle="1" w:styleId="MiniTOCTitle">
    <w:name w:val="MiniTOCTitle"/>
    <w:basedOn w:val="Heading4"/>
    <w:rsid w:val="00074B81"/>
    <w:pPr>
      <w:spacing w:before="240"/>
      <w:outlineLvl w:val="9"/>
    </w:pPr>
    <w:rPr>
      <w:noProof/>
      <w:sz w:val="24"/>
    </w:rPr>
  </w:style>
  <w:style w:type="paragraph" w:customStyle="1" w:styleId="MiniTOCItem">
    <w:name w:val="MiniTOCItem"/>
    <w:basedOn w:val="ListBullet"/>
    <w:rsid w:val="00074B81"/>
    <w:pPr>
      <w:numPr>
        <w:numId w:val="0"/>
      </w:numPr>
      <w:tabs>
        <w:tab w:val="right" w:leader="dot" w:pos="6521"/>
      </w:tabs>
      <w:spacing w:before="0" w:after="0"/>
    </w:pPr>
  </w:style>
  <w:style w:type="paragraph" w:customStyle="1" w:styleId="TOFTitle">
    <w:name w:val="TOFTitle"/>
    <w:basedOn w:val="TOCTitle"/>
    <w:rsid w:val="00074B81"/>
  </w:style>
  <w:style w:type="paragraph" w:styleId="TableofFigures">
    <w:name w:val="table of figures"/>
    <w:basedOn w:val="Normal"/>
    <w:next w:val="Normal"/>
    <w:semiHidden/>
    <w:rsid w:val="00074B81"/>
    <w:pPr>
      <w:tabs>
        <w:tab w:val="right" w:leader="dot" w:pos="9072"/>
      </w:tabs>
      <w:ind w:left="970" w:hanging="403"/>
    </w:pPr>
    <w:rPr>
      <w:rFonts w:ascii="Times New Roman" w:hAnsi="Times New Roman"/>
      <w:b/>
    </w:rPr>
  </w:style>
  <w:style w:type="paragraph" w:styleId="ListNumber">
    <w:name w:val="List Number"/>
    <w:basedOn w:val="List"/>
    <w:rsid w:val="00074B81"/>
    <w:pPr>
      <w:numPr>
        <w:numId w:val="14"/>
      </w:numPr>
      <w:tabs>
        <w:tab w:val="clear" w:pos="340"/>
      </w:tabs>
    </w:pPr>
  </w:style>
  <w:style w:type="character" w:customStyle="1" w:styleId="WingdingSymbols">
    <w:name w:val="Wingding Symbols"/>
    <w:rsid w:val="00074B81"/>
    <w:rPr>
      <w:rFonts w:ascii="Wingdings" w:hAnsi="Wingdings"/>
    </w:rPr>
  </w:style>
  <w:style w:type="paragraph" w:customStyle="1" w:styleId="TableHeading">
    <w:name w:val="Table Heading"/>
    <w:basedOn w:val="HeadingBase"/>
    <w:rsid w:val="00074B81"/>
    <w:pPr>
      <w:keepLines/>
      <w:pBdr>
        <w:bottom w:val="single" w:sz="6" w:space="1" w:color="918585"/>
      </w:pBdr>
      <w:spacing w:before="240"/>
    </w:pPr>
  </w:style>
  <w:style w:type="character" w:customStyle="1" w:styleId="HotSpot">
    <w:name w:val="HotSpot"/>
    <w:rsid w:val="00074B81"/>
    <w:rPr>
      <w:color w:val="0033CC"/>
      <w:u w:val="none"/>
    </w:rPr>
  </w:style>
  <w:style w:type="paragraph" w:customStyle="1" w:styleId="BodyTextRight">
    <w:name w:val="Body Text Right"/>
    <w:basedOn w:val="BodyText"/>
    <w:rsid w:val="00074B81"/>
    <w:pPr>
      <w:spacing w:before="0" w:after="0"/>
      <w:jc w:val="right"/>
    </w:pPr>
  </w:style>
  <w:style w:type="paragraph" w:styleId="Index3">
    <w:name w:val="index 3"/>
    <w:basedOn w:val="ListNumber2"/>
    <w:next w:val="Normal"/>
    <w:semiHidden/>
    <w:rsid w:val="00074B81"/>
    <w:pPr>
      <w:numPr>
        <w:numId w:val="0"/>
      </w:numPr>
      <w:tabs>
        <w:tab w:val="right" w:leader="dot" w:pos="4176"/>
      </w:tabs>
    </w:pPr>
  </w:style>
  <w:style w:type="paragraph" w:styleId="ListNumber2">
    <w:name w:val="List Number 2"/>
    <w:basedOn w:val="List2"/>
    <w:rsid w:val="00074B81"/>
    <w:pPr>
      <w:numPr>
        <w:numId w:val="9"/>
      </w:numPr>
      <w:tabs>
        <w:tab w:val="clear" w:pos="1060"/>
      </w:tabs>
    </w:pPr>
  </w:style>
  <w:style w:type="paragraph" w:customStyle="1" w:styleId="MarginNote">
    <w:name w:val="Margin Note"/>
    <w:basedOn w:val="BodyText"/>
    <w:rsid w:val="00074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B81"/>
    <w:rPr>
      <w:sz w:val="32"/>
    </w:rPr>
  </w:style>
  <w:style w:type="paragraph" w:customStyle="1" w:styleId="HeadingProcedure">
    <w:name w:val="Heading Procedure"/>
    <w:basedOn w:val="HeadingBase"/>
    <w:next w:val="Normal"/>
    <w:rsid w:val="00074B81"/>
    <w:pPr>
      <w:tabs>
        <w:tab w:val="left" w:pos="0"/>
      </w:tabs>
      <w:spacing w:before="120" w:after="60"/>
    </w:pPr>
    <w:rPr>
      <w:i/>
      <w:color w:val="918585"/>
      <w:sz w:val="22"/>
    </w:rPr>
  </w:style>
  <w:style w:type="paragraph" w:customStyle="1" w:styleId="TableBodyText">
    <w:name w:val="Table Body Text"/>
    <w:basedOn w:val="BodyText"/>
    <w:rsid w:val="00074B81"/>
    <w:pPr>
      <w:spacing w:before="60" w:after="60"/>
    </w:pPr>
  </w:style>
  <w:style w:type="paragraph" w:styleId="ListContinue">
    <w:name w:val="List Continue"/>
    <w:basedOn w:val="List"/>
    <w:rsid w:val="00074B81"/>
    <w:pPr>
      <w:ind w:firstLine="0"/>
    </w:pPr>
  </w:style>
  <w:style w:type="paragraph" w:customStyle="1" w:styleId="ListNote">
    <w:name w:val="List Note"/>
    <w:basedOn w:val="List"/>
    <w:rsid w:val="00074B81"/>
    <w:pPr>
      <w:pBdr>
        <w:top w:val="single" w:sz="6" w:space="2" w:color="918585"/>
        <w:bottom w:val="single" w:sz="6" w:space="2" w:color="918585"/>
      </w:pBdr>
      <w:tabs>
        <w:tab w:val="left" w:pos="1021"/>
      </w:tabs>
      <w:ind w:firstLine="0"/>
    </w:pPr>
  </w:style>
  <w:style w:type="paragraph" w:customStyle="1" w:styleId="Warning">
    <w:name w:val="Warning"/>
    <w:basedOn w:val="BodyText"/>
    <w:rsid w:val="00074B81"/>
    <w:pPr>
      <w:shd w:val="clear" w:color="auto" w:fill="D9D9D9"/>
      <w:tabs>
        <w:tab w:val="left" w:pos="992"/>
      </w:tabs>
      <w:ind w:left="119" w:right="119"/>
    </w:pPr>
    <w:rPr>
      <w:sz w:val="20"/>
    </w:rPr>
  </w:style>
  <w:style w:type="paragraph" w:customStyle="1" w:styleId="MarginIcons">
    <w:name w:val="Margin Icons"/>
    <w:basedOn w:val="BodyText"/>
    <w:rsid w:val="00074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B81"/>
    <w:rPr>
      <w:rFonts w:ascii="Courier New" w:hAnsi="Courier New"/>
    </w:rPr>
  </w:style>
  <w:style w:type="paragraph" w:customStyle="1" w:styleId="NoteBullet">
    <w:name w:val="Note Bullet"/>
    <w:basedOn w:val="Note"/>
    <w:rsid w:val="00074B81"/>
    <w:pPr>
      <w:tabs>
        <w:tab w:val="clear" w:pos="680"/>
      </w:tabs>
      <w:spacing w:before="60" w:after="60"/>
    </w:pPr>
  </w:style>
  <w:style w:type="paragraph" w:customStyle="1" w:styleId="SubHeading2">
    <w:name w:val="SubHeading2"/>
    <w:basedOn w:val="HeadingBase"/>
    <w:rsid w:val="00074B81"/>
    <w:pPr>
      <w:spacing w:before="240" w:after="60"/>
    </w:pPr>
    <w:rPr>
      <w:sz w:val="20"/>
    </w:rPr>
  </w:style>
  <w:style w:type="paragraph" w:customStyle="1" w:styleId="SubHeading1">
    <w:name w:val="SubHeading1"/>
    <w:basedOn w:val="HeadingBase"/>
    <w:rsid w:val="00074B81"/>
    <w:pPr>
      <w:spacing w:before="240" w:after="60"/>
    </w:pPr>
    <w:rPr>
      <w:color w:val="918585"/>
      <w:sz w:val="22"/>
    </w:rPr>
  </w:style>
  <w:style w:type="paragraph" w:customStyle="1" w:styleId="SideHeading">
    <w:name w:val="Side Heading"/>
    <w:basedOn w:val="HeadingBase"/>
    <w:rsid w:val="00074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B81"/>
    <w:pPr>
      <w:numPr>
        <w:numId w:val="10"/>
      </w:numPr>
    </w:pPr>
  </w:style>
  <w:style w:type="paragraph" w:styleId="PlainText">
    <w:name w:val="Plain Text"/>
    <w:basedOn w:val="Normal"/>
    <w:link w:val="PlainTextChar"/>
    <w:rsid w:val="00074B81"/>
    <w:rPr>
      <w:sz w:val="20"/>
    </w:rPr>
  </w:style>
  <w:style w:type="character" w:customStyle="1" w:styleId="PlainTextChar">
    <w:name w:val="Plain Text Char"/>
    <w:basedOn w:val="DefaultParagraphFont"/>
    <w:link w:val="PlainText"/>
    <w:rsid w:val="00074B81"/>
    <w:rPr>
      <w:rFonts w:ascii="Courier New" w:eastAsia="Times New Roman" w:hAnsi="Courier New" w:cs="Times New Roman"/>
      <w:sz w:val="20"/>
      <w:szCs w:val="20"/>
      <w:lang w:eastAsia="en-US"/>
    </w:rPr>
  </w:style>
  <w:style w:type="character" w:customStyle="1" w:styleId="MenuOption">
    <w:name w:val="Menu Option"/>
    <w:basedOn w:val="DefaultParagraphFont"/>
    <w:rsid w:val="00074B81"/>
    <w:rPr>
      <w:b/>
      <w:smallCaps/>
    </w:rPr>
  </w:style>
  <w:style w:type="paragraph" w:customStyle="1" w:styleId="TableListNumber">
    <w:name w:val="Table List Number"/>
    <w:basedOn w:val="ListNumber"/>
    <w:rsid w:val="00074B81"/>
    <w:pPr>
      <w:numPr>
        <w:numId w:val="0"/>
      </w:numPr>
    </w:pPr>
  </w:style>
  <w:style w:type="paragraph" w:styleId="TOC4">
    <w:name w:val="toc 4"/>
    <w:basedOn w:val="TOCBase"/>
    <w:next w:val="Normal"/>
    <w:semiHidden/>
    <w:rsid w:val="00074B81"/>
    <w:pPr>
      <w:tabs>
        <w:tab w:val="right" w:leader="dot" w:pos="9071"/>
      </w:tabs>
      <w:ind w:left="1701"/>
    </w:pPr>
  </w:style>
  <w:style w:type="paragraph" w:customStyle="1" w:styleId="ListAlpha">
    <w:name w:val="List Alpha"/>
    <w:basedOn w:val="List"/>
    <w:rsid w:val="00074B81"/>
    <w:pPr>
      <w:numPr>
        <w:numId w:val="8"/>
      </w:numPr>
    </w:pPr>
  </w:style>
  <w:style w:type="paragraph" w:customStyle="1" w:styleId="ListAlpha2">
    <w:name w:val="List Alpha 2"/>
    <w:basedOn w:val="List2"/>
    <w:rsid w:val="00074B81"/>
    <w:pPr>
      <w:numPr>
        <w:numId w:val="7"/>
      </w:numPr>
    </w:pPr>
  </w:style>
  <w:style w:type="paragraph" w:styleId="List2">
    <w:name w:val="List 2"/>
    <w:basedOn w:val="BodyText"/>
    <w:rsid w:val="00074B81"/>
    <w:pPr>
      <w:tabs>
        <w:tab w:val="left" w:pos="680"/>
      </w:tabs>
      <w:spacing w:before="60" w:after="60"/>
      <w:ind w:left="680" w:hanging="340"/>
    </w:pPr>
  </w:style>
  <w:style w:type="paragraph" w:styleId="List3">
    <w:name w:val="List 3"/>
    <w:basedOn w:val="BodyText"/>
    <w:rsid w:val="00074B81"/>
    <w:pPr>
      <w:tabs>
        <w:tab w:val="left" w:pos="1021"/>
      </w:tabs>
      <w:spacing w:before="60" w:after="60"/>
      <w:ind w:left="1020" w:hanging="340"/>
    </w:pPr>
  </w:style>
  <w:style w:type="paragraph" w:styleId="List4">
    <w:name w:val="List 4"/>
    <w:basedOn w:val="BodyText"/>
    <w:rsid w:val="00074B81"/>
    <w:pPr>
      <w:tabs>
        <w:tab w:val="left" w:pos="1361"/>
      </w:tabs>
      <w:spacing w:before="60" w:after="60"/>
      <w:ind w:left="1361" w:hanging="340"/>
    </w:pPr>
  </w:style>
  <w:style w:type="paragraph" w:styleId="List5">
    <w:name w:val="List 5"/>
    <w:basedOn w:val="BodyText"/>
    <w:rsid w:val="00074B81"/>
    <w:pPr>
      <w:tabs>
        <w:tab w:val="left" w:pos="1701"/>
      </w:tabs>
      <w:spacing w:before="60" w:after="60"/>
      <w:ind w:left="1701" w:hanging="340"/>
    </w:pPr>
  </w:style>
  <w:style w:type="paragraph" w:styleId="ListBullet3">
    <w:name w:val="List Bullet 3"/>
    <w:basedOn w:val="List3"/>
    <w:rsid w:val="00074B81"/>
    <w:pPr>
      <w:numPr>
        <w:numId w:val="13"/>
      </w:numPr>
      <w:tabs>
        <w:tab w:val="clear" w:pos="1021"/>
      </w:tabs>
      <w:ind w:left="1037" w:hanging="357"/>
    </w:pPr>
  </w:style>
  <w:style w:type="paragraph" w:styleId="ListBullet4">
    <w:name w:val="List Bullet 4"/>
    <w:basedOn w:val="List4"/>
    <w:rsid w:val="00074B81"/>
    <w:pPr>
      <w:numPr>
        <w:numId w:val="2"/>
      </w:numPr>
      <w:tabs>
        <w:tab w:val="clear" w:pos="1361"/>
      </w:tabs>
    </w:pPr>
  </w:style>
  <w:style w:type="paragraph" w:styleId="ListBullet5">
    <w:name w:val="List Bullet 5"/>
    <w:basedOn w:val="List5"/>
    <w:rsid w:val="00074B81"/>
    <w:pPr>
      <w:numPr>
        <w:numId w:val="3"/>
      </w:numPr>
    </w:pPr>
  </w:style>
  <w:style w:type="paragraph" w:styleId="ListContinue2">
    <w:name w:val="List Continue 2"/>
    <w:basedOn w:val="List2"/>
    <w:rsid w:val="00074B81"/>
    <w:pPr>
      <w:ind w:firstLine="0"/>
    </w:pPr>
  </w:style>
  <w:style w:type="paragraph" w:styleId="ListContinue3">
    <w:name w:val="List Continue 3"/>
    <w:basedOn w:val="List3"/>
    <w:rsid w:val="00074B81"/>
    <w:pPr>
      <w:ind w:left="1021" w:firstLine="0"/>
    </w:pPr>
  </w:style>
  <w:style w:type="paragraph" w:styleId="ListContinue4">
    <w:name w:val="List Continue 4"/>
    <w:basedOn w:val="List4"/>
    <w:rsid w:val="00074B81"/>
    <w:pPr>
      <w:ind w:firstLine="0"/>
    </w:pPr>
  </w:style>
  <w:style w:type="paragraph" w:styleId="ListContinue5">
    <w:name w:val="List Continue 5"/>
    <w:basedOn w:val="List5"/>
    <w:rsid w:val="00074B81"/>
    <w:pPr>
      <w:ind w:firstLine="0"/>
    </w:pPr>
  </w:style>
  <w:style w:type="paragraph" w:styleId="ListNumber3">
    <w:name w:val="List Number 3"/>
    <w:basedOn w:val="List3"/>
    <w:rsid w:val="00074B81"/>
    <w:pPr>
      <w:numPr>
        <w:numId w:val="4"/>
      </w:numPr>
    </w:pPr>
  </w:style>
  <w:style w:type="paragraph" w:styleId="ListNumber4">
    <w:name w:val="List Number 4"/>
    <w:basedOn w:val="List4"/>
    <w:rsid w:val="00074B81"/>
    <w:pPr>
      <w:numPr>
        <w:numId w:val="5"/>
      </w:numPr>
    </w:pPr>
  </w:style>
  <w:style w:type="paragraph" w:styleId="ListNumber5">
    <w:name w:val="List Number 5"/>
    <w:basedOn w:val="List5"/>
    <w:rsid w:val="00074B81"/>
    <w:pPr>
      <w:numPr>
        <w:numId w:val="6"/>
      </w:numPr>
    </w:pPr>
  </w:style>
  <w:style w:type="paragraph" w:styleId="BlockText">
    <w:name w:val="Block Text"/>
    <w:basedOn w:val="Normal"/>
    <w:rsid w:val="00074B81"/>
    <w:pPr>
      <w:spacing w:after="120"/>
      <w:ind w:left="1440" w:right="1440"/>
    </w:pPr>
  </w:style>
  <w:style w:type="character" w:customStyle="1" w:styleId="Subscript">
    <w:name w:val="Subscript"/>
    <w:basedOn w:val="DefaultParagraphFont"/>
    <w:rsid w:val="00074B81"/>
    <w:rPr>
      <w:sz w:val="16"/>
      <w:vertAlign w:val="subscript"/>
    </w:rPr>
  </w:style>
  <w:style w:type="character" w:customStyle="1" w:styleId="Superscript">
    <w:name w:val="Superscript"/>
    <w:basedOn w:val="DefaultParagraphFont"/>
    <w:rsid w:val="00074B81"/>
    <w:rPr>
      <w:sz w:val="16"/>
      <w:vertAlign w:val="superscript"/>
    </w:rPr>
  </w:style>
  <w:style w:type="character" w:customStyle="1" w:styleId="Symbols">
    <w:name w:val="Symbols"/>
    <w:basedOn w:val="DefaultParagraphFont"/>
    <w:rsid w:val="00074B81"/>
    <w:rPr>
      <w:rFonts w:ascii="Symbol" w:hAnsi="Symbol"/>
    </w:rPr>
  </w:style>
  <w:style w:type="character" w:customStyle="1" w:styleId="MenuOptions">
    <w:name w:val="Menu Options"/>
    <w:basedOn w:val="DefaultParagraphFont"/>
    <w:rsid w:val="00074B81"/>
    <w:rPr>
      <w:rFonts w:ascii="Arial Narrow" w:hAnsi="Arial Narrow"/>
      <w:smallCaps/>
    </w:rPr>
  </w:style>
  <w:style w:type="character" w:customStyle="1" w:styleId="Buttons">
    <w:name w:val="Buttons"/>
    <w:basedOn w:val="DefaultParagraphFont"/>
    <w:rsid w:val="00074B81"/>
    <w:rPr>
      <w:b/>
    </w:rPr>
  </w:style>
  <w:style w:type="character" w:customStyle="1" w:styleId="Underlined">
    <w:name w:val="Underlined"/>
    <w:basedOn w:val="DefaultParagraphFont"/>
    <w:rsid w:val="00074B81"/>
    <w:rPr>
      <w:u w:val="single"/>
    </w:rPr>
  </w:style>
  <w:style w:type="paragraph" w:customStyle="1" w:styleId="TableBodyTextRight">
    <w:name w:val="Table Body Text Right"/>
    <w:basedOn w:val="TableBodyText"/>
    <w:rsid w:val="00074B81"/>
    <w:pPr>
      <w:widowControl w:val="0"/>
      <w:autoSpaceDE w:val="0"/>
      <w:autoSpaceDN w:val="0"/>
      <w:adjustRightInd w:val="0"/>
      <w:jc w:val="right"/>
    </w:pPr>
    <w:rPr>
      <w:rFonts w:cs="Arial"/>
      <w:szCs w:val="18"/>
    </w:rPr>
  </w:style>
  <w:style w:type="paragraph" w:customStyle="1" w:styleId="CopyrightText">
    <w:name w:val="Copyright Text"/>
    <w:basedOn w:val="BodyText"/>
    <w:rsid w:val="00074B81"/>
    <w:rPr>
      <w:sz w:val="18"/>
    </w:rPr>
  </w:style>
  <w:style w:type="paragraph" w:customStyle="1" w:styleId="BodySmallRight">
    <w:name w:val="Body Small Right"/>
    <w:basedOn w:val="BodyTextRight"/>
    <w:rsid w:val="00074B81"/>
    <w:rPr>
      <w:sz w:val="18"/>
      <w:szCs w:val="18"/>
    </w:rPr>
  </w:style>
  <w:style w:type="paragraph" w:customStyle="1" w:styleId="MarginEdition">
    <w:name w:val="Margin Edition"/>
    <w:basedOn w:val="MarginNote"/>
    <w:rsid w:val="00074B81"/>
    <w:pPr>
      <w:spacing w:before="0" w:after="0"/>
    </w:pPr>
    <w:rPr>
      <w:rFonts w:ascii="Times New Roman" w:hAnsi="Times New Roman"/>
      <w:color w:val="999999"/>
    </w:rPr>
  </w:style>
  <w:style w:type="paragraph" w:customStyle="1" w:styleId="Spacer">
    <w:name w:val="Spacer"/>
    <w:basedOn w:val="Normal"/>
    <w:rsid w:val="00074B81"/>
    <w:rPr>
      <w:sz w:val="2"/>
      <w:szCs w:val="2"/>
    </w:rPr>
  </w:style>
  <w:style w:type="character" w:customStyle="1" w:styleId="Small">
    <w:name w:val="Small"/>
    <w:basedOn w:val="DefaultParagraphFont"/>
    <w:rsid w:val="00074B81"/>
    <w:rPr>
      <w:sz w:val="16"/>
    </w:rPr>
  </w:style>
  <w:style w:type="paragraph" w:customStyle="1" w:styleId="WideTable">
    <w:name w:val="Wide Table"/>
    <w:basedOn w:val="Normal"/>
    <w:rsid w:val="00074B81"/>
    <w:pPr>
      <w:ind w:left="-1418"/>
    </w:pPr>
    <w:rPr>
      <w:sz w:val="2"/>
      <w:szCs w:val="2"/>
    </w:rPr>
  </w:style>
  <w:style w:type="character" w:styleId="PageNumber">
    <w:name w:val="page number"/>
    <w:basedOn w:val="DefaultParagraphFont"/>
    <w:rsid w:val="00074B81"/>
  </w:style>
  <w:style w:type="paragraph" w:styleId="Quote">
    <w:name w:val="Quote"/>
    <w:basedOn w:val="Heading1"/>
    <w:link w:val="QuoteChar"/>
    <w:qFormat/>
    <w:rsid w:val="00074B81"/>
    <w:rPr>
      <w:b w:val="0"/>
      <w:sz w:val="72"/>
      <w:szCs w:val="72"/>
      <w:lang w:val="en-NZ"/>
    </w:rPr>
  </w:style>
  <w:style w:type="character" w:customStyle="1" w:styleId="QuoteChar">
    <w:name w:val="Quote Char"/>
    <w:basedOn w:val="DefaultParagraphFont"/>
    <w:link w:val="Quote"/>
    <w:rsid w:val="00074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B81"/>
    <w:pPr>
      <w:pageBreakBefore/>
    </w:pPr>
  </w:style>
  <w:style w:type="paragraph" w:customStyle="1" w:styleId="Border">
    <w:name w:val="Border"/>
    <w:basedOn w:val="Normal"/>
    <w:qFormat/>
    <w:rsid w:val="00074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B81"/>
    <w:rPr>
      <w:b/>
      <w:bCs/>
      <w:i/>
      <w:iCs/>
      <w:color w:val="auto"/>
    </w:rPr>
  </w:style>
  <w:style w:type="paragraph" w:styleId="IntenseQuote">
    <w:name w:val="Intense Quote"/>
    <w:basedOn w:val="Normal"/>
    <w:next w:val="Normal"/>
    <w:link w:val="IntenseQuoteChar"/>
    <w:uiPriority w:val="30"/>
    <w:qFormat/>
    <w:rsid w:val="00074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B81"/>
    <w:rPr>
      <w:smallCaps/>
      <w:color w:val="auto"/>
      <w:u w:val="single"/>
    </w:rPr>
  </w:style>
  <w:style w:type="character" w:styleId="IntenseReference">
    <w:name w:val="Intense Reference"/>
    <w:basedOn w:val="DefaultParagraphFont"/>
    <w:uiPriority w:val="32"/>
    <w:qFormat/>
    <w:rsid w:val="00074B81"/>
    <w:rPr>
      <w:b/>
      <w:bCs/>
      <w:smallCaps/>
      <w:color w:val="auto"/>
      <w:spacing w:val="5"/>
      <w:u w:val="single"/>
    </w:rPr>
  </w:style>
  <w:style w:type="paragraph" w:customStyle="1" w:styleId="2ColumnHeading">
    <w:name w:val="2Column Heading"/>
    <w:basedOn w:val="BodyText"/>
    <w:qFormat/>
    <w:rsid w:val="00074B81"/>
    <w:pPr>
      <w:spacing w:after="60"/>
      <w:ind w:left="-2268"/>
    </w:pPr>
    <w:rPr>
      <w:b/>
    </w:rPr>
  </w:style>
  <w:style w:type="paragraph" w:customStyle="1" w:styleId="Heading1TOC">
    <w:name w:val="Heading1 TOC"/>
    <w:basedOn w:val="Normal"/>
    <w:qFormat/>
    <w:rsid w:val="00074B81"/>
    <w:pPr>
      <w:spacing w:before="240" w:after="120"/>
    </w:pPr>
    <w:rPr>
      <w:rFonts w:ascii="Times New Roman" w:hAnsi="Times New Roman"/>
      <w:b/>
      <w:sz w:val="32"/>
    </w:rPr>
  </w:style>
  <w:style w:type="paragraph" w:customStyle="1" w:styleId="Heading2TOC">
    <w:name w:val="Heading2 TOC"/>
    <w:basedOn w:val="Normal"/>
    <w:qFormat/>
    <w:rsid w:val="00074B81"/>
    <w:pPr>
      <w:spacing w:before="240" w:after="60"/>
    </w:pPr>
    <w:rPr>
      <w:rFonts w:ascii="Times New Roman" w:hAnsi="Times New Roman"/>
      <w:b/>
      <w:sz w:val="28"/>
    </w:rPr>
  </w:style>
  <w:style w:type="character" w:customStyle="1" w:styleId="Underline">
    <w:name w:val="Underline"/>
    <w:basedOn w:val="DefaultParagraphFont"/>
    <w:qFormat/>
    <w:rsid w:val="00074B81"/>
    <w:rPr>
      <w:u w:val="single"/>
    </w:rPr>
  </w:style>
  <w:style w:type="character" w:customStyle="1" w:styleId="BoldandItalics">
    <w:name w:val="Bold and Italics"/>
    <w:qFormat/>
    <w:rsid w:val="00074B81"/>
    <w:rPr>
      <w:b/>
      <w:i/>
      <w:u w:val="none"/>
    </w:rPr>
  </w:style>
  <w:style w:type="paragraph" w:styleId="BalloonText">
    <w:name w:val="Balloon Text"/>
    <w:basedOn w:val="Normal"/>
    <w:link w:val="BalloonTextChar"/>
    <w:rsid w:val="00074B81"/>
    <w:rPr>
      <w:rFonts w:ascii="Tahoma" w:hAnsi="Tahoma" w:cs="Tahoma"/>
      <w:sz w:val="16"/>
      <w:szCs w:val="16"/>
    </w:rPr>
  </w:style>
  <w:style w:type="character" w:customStyle="1" w:styleId="BalloonTextChar">
    <w:name w:val="Balloon Text Char"/>
    <w:basedOn w:val="DefaultParagraphFont"/>
    <w:link w:val="BalloonText"/>
    <w:rsid w:val="00074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B81"/>
    <w:rPr>
      <w:b/>
      <w:color w:val="660033"/>
      <w:spacing w:val="0"/>
    </w:rPr>
  </w:style>
  <w:style w:type="paragraph" w:customStyle="1" w:styleId="Nameditemlist">
    <w:name w:val="Named item list"/>
    <w:basedOn w:val="BodyText"/>
    <w:qFormat/>
    <w:rsid w:val="00074B81"/>
    <w:pPr>
      <w:tabs>
        <w:tab w:val="left" w:pos="2835"/>
      </w:tabs>
      <w:ind w:left="2835" w:hanging="2835"/>
    </w:pPr>
  </w:style>
  <w:style w:type="paragraph" w:customStyle="1" w:styleId="BodyTextnopadding">
    <w:name w:val="Body Text no padding"/>
    <w:basedOn w:val="BodyText"/>
    <w:qFormat/>
    <w:rsid w:val="00074B81"/>
    <w:pPr>
      <w:spacing w:before="0" w:after="0"/>
    </w:pPr>
  </w:style>
  <w:style w:type="paragraph" w:customStyle="1" w:styleId="BodyTextBold">
    <w:name w:val="Body Text Bold"/>
    <w:basedOn w:val="BodyText"/>
    <w:qFormat/>
    <w:rsid w:val="00074B81"/>
    <w:rPr>
      <w:b/>
    </w:rPr>
  </w:style>
  <w:style w:type="character" w:styleId="Hyperlink">
    <w:name w:val="Hyperlink"/>
    <w:basedOn w:val="DefaultParagraphFont"/>
    <w:uiPriority w:val="99"/>
    <w:unhideWhenUsed/>
    <w:rsid w:val="00A43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3650</Characters>
  <Application>Microsoft Office Word</Application>
  <DocSecurity>0</DocSecurity>
  <Lines>158</Lines>
  <Paragraphs>91</Paragraphs>
  <ScaleCrop>false</ScaleCrop>
  <Company>Author-it Software Corporation Ltd.</Company>
  <LinksUpToDate>false</LinksUpToDate>
  <CharactersWithSpaces>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DEFEXO106 Conduct explosive ordnance disposal operations</dc:title>
  <dc:subject>Approved</dc:subject>
  <dc:creator>Public Skills Australia</dc:creator>
  <cp:keywords>Release: 3</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