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668" w:rsidP="009A16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DEFEXO103 Dispose of non-explosive dangerous goods</w:t>
      </w:r>
      <w:r>
        <w:fldChar w:fldCharType="end"/>
      </w:r>
    </w:p>
    <w:p w:rsidR="009A1668" w:rsidP="009A1668">
      <w:pPr>
        <w:pStyle w:val="Version"/>
        <w:sectPr w:rsidSect="008F21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F21A4" w:rsidP="008F21A4">
      <w:pPr>
        <w:pStyle w:val="SuperHeading"/>
      </w:pPr>
      <w:r w:rsidRPr="008F21A4">
        <w:t>DEFEXO103 Dispose of non-explosive dangerous goods</w:t>
      </w:r>
    </w:p>
    <w:p w:rsidR="00000000" w:rsidRPr="008F21A4" w:rsidP="008F21A4">
      <w:pPr>
        <w:pStyle w:val="Heading1"/>
      </w:pPr>
      <w:bookmarkStart w:id="1" w:name="O_1097942"/>
      <w:bookmarkEnd w:id="1"/>
      <w:r w:rsidRPr="008F21A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21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1A4">
            <w:pPr>
              <w:pStyle w:val="BodyText"/>
              <w:rPr>
                <w:lang w:val="en-NZ"/>
              </w:rPr>
            </w:pPr>
            <w:r w:rsidRPr="008F21A4">
              <w:t>Release 2. Modifications made to Foundation Skills and Assessment Conditions.</w:t>
            </w:r>
          </w:p>
        </w:tc>
      </w:tr>
      <w:tr w:rsidTr="008F21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1A4" w:rsidP="008F21A4">
            <w:pPr>
              <w:pStyle w:val="BodyText"/>
            </w:pPr>
            <w:r w:rsidRPr="008F21A4">
              <w:t>Release 1. This unit was released in DEF Defence Training Package release 1.0 and meets the Standards for Training Packages.</w:t>
            </w:r>
          </w:p>
          <w:p w:rsidR="00000000" w:rsidRPr="008F21A4" w:rsidP="008F21A4">
            <w:pPr>
              <w:pStyle w:val="BodyText"/>
            </w:pPr>
            <w:r w:rsidRPr="008F21A4">
              <w:t>This unit supersedes a</w:t>
            </w:r>
            <w:r w:rsidRPr="008F21A4">
              <w:t>nd is equivalent to DEFEO203C Dispose of non-explosive dangerous goods.</w:t>
            </w:r>
          </w:p>
          <w:p w:rsidR="00000000" w:rsidRPr="008F21A4" w:rsidP="008F21A4">
            <w:pPr>
              <w:pStyle w:val="ListBullet"/>
            </w:pPr>
            <w:r w:rsidRPr="008F21A4">
              <w:t>Unit code updated</w:t>
            </w:r>
          </w:p>
          <w:p w:rsidR="00000000" w:rsidRPr="008F21A4" w:rsidP="008F21A4">
            <w:pPr>
              <w:pStyle w:val="ListBullet"/>
            </w:pPr>
            <w:r w:rsidRPr="008F21A4">
              <w:t>Content and formatting updated to comply with the new standards</w:t>
            </w:r>
          </w:p>
          <w:p w:rsidR="00000000" w:rsidRPr="008F21A4" w:rsidP="008F21A4">
            <w:pPr>
              <w:pStyle w:val="ListBullet"/>
            </w:pPr>
            <w:r w:rsidRPr="008F21A4">
              <w:t>All PC transitioned from passive to active voice</w:t>
            </w:r>
          </w:p>
          <w:p w:rsidR="00000000" w:rsidRPr="008F21A4" w:rsidP="008F21A4">
            <w:pPr>
              <w:pStyle w:val="ListBullet"/>
            </w:pPr>
            <w:r w:rsidRPr="008F21A4">
              <w:t>PC 1.2 removed</w:t>
            </w:r>
          </w:p>
          <w:p w:rsidR="00000000" w:rsidRPr="008F21A4" w:rsidP="008F21A4">
            <w:pPr>
              <w:pStyle w:val="ListBullet"/>
            </w:pPr>
            <w:r w:rsidRPr="008F21A4">
              <w:t>PC 2.1 reworded</w:t>
            </w:r>
          </w:p>
        </w:tc>
      </w:tr>
    </w:tbl>
    <w:p w:rsidR="009A1668" w:rsidP="008F21A4">
      <w:pPr>
        <w:pStyle w:val="NoPaddingFontSize1"/>
      </w:pPr>
    </w:p>
    <w:p w:rsidR="009A1668" w:rsidP="008F21A4">
      <w:pPr>
        <w:pStyle w:val="NoPaddingFontSize1"/>
      </w:pPr>
    </w:p>
    <w:p w:rsidR="00000000" w:rsidRPr="008F21A4" w:rsidP="008F21A4">
      <w:pPr>
        <w:pStyle w:val="Heading1"/>
      </w:pPr>
      <w:bookmarkStart w:id="2" w:name="O_1097941"/>
      <w:bookmarkEnd w:id="2"/>
      <w:r w:rsidRPr="008F21A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21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1A4" w:rsidP="008F21A4">
            <w:pPr>
              <w:pStyle w:val="BodyText"/>
            </w:pPr>
            <w:r w:rsidRPr="008F21A4">
              <w:t>This unit describes the skills required to dispose of non-explosive dangerous goods using authorised disposal methods. Where disposal is by destruction or burning, a licensed range is used.</w:t>
            </w:r>
          </w:p>
          <w:p w:rsidR="00000000" w:rsidRPr="008F21A4" w:rsidP="008F21A4">
            <w:pPr>
              <w:pStyle w:val="BodyText"/>
            </w:pPr>
            <w:r w:rsidRPr="008F21A4">
              <w:t>This unit applies to those required to dispos</w:t>
            </w:r>
            <w:r w:rsidRPr="008F21A4">
              <w:t>e of non-explosive dangerous goods using authorised disposal methods.</w:t>
            </w:r>
          </w:p>
          <w:p w:rsidR="00000000" w:rsidRPr="008F21A4" w:rsidP="008F21A4">
            <w:pPr>
              <w:pStyle w:val="BodyText"/>
            </w:pPr>
            <w:r w:rsidRPr="008F21A4">
              <w:t>The skills and knowledge described in this unit must be applied within the legislative, regulatory and policy environment in which they are carried out. Organisational policies and proce</w:t>
            </w:r>
            <w:r w:rsidRPr="008F21A4">
              <w:t>dures must be consulted and adhered to.</w:t>
            </w:r>
          </w:p>
          <w:p w:rsidR="00000000" w:rsidRPr="008F21A4" w:rsidP="008F21A4">
            <w:pPr>
              <w:pStyle w:val="BodyText"/>
            </w:pPr>
            <w:r w:rsidRPr="008F21A4">
              <w:t xml:space="preserve">Those undertaking this unit would work independently and as part of a team, under direct and/or indirect supervision, use discretion and judgement, and take responsibility for the quality of their output. They would </w:t>
            </w:r>
            <w:r w:rsidRPr="008F21A4">
              <w:t>perform specific tasks in a broad range of contexts.</w:t>
            </w:r>
          </w:p>
          <w:p w:rsidR="00000000" w:rsidRPr="008F21A4" w:rsidP="008F21A4">
            <w:pPr>
              <w:pStyle w:val="BodyText"/>
            </w:pPr>
            <w:r w:rsidRPr="008F21A4">
              <w:t>No licensing, legislative or certification requirements apply to unit at the time of publication.</w:t>
            </w:r>
          </w:p>
        </w:tc>
      </w:tr>
    </w:tbl>
    <w:p w:rsidR="009A1668" w:rsidP="008F21A4">
      <w:pPr>
        <w:pStyle w:val="NoPaddingFontSize1"/>
      </w:pPr>
    </w:p>
    <w:p w:rsidR="009A1668" w:rsidP="008F21A4">
      <w:pPr>
        <w:pStyle w:val="NoPaddingFontSize1"/>
      </w:pPr>
    </w:p>
    <w:p w:rsidR="00000000" w:rsidRPr="008F21A4" w:rsidP="008F21A4">
      <w:pPr>
        <w:pStyle w:val="Heading1"/>
      </w:pPr>
      <w:bookmarkStart w:id="3" w:name="O_1104725"/>
      <w:bookmarkEnd w:id="3"/>
      <w:r w:rsidRPr="008F21A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21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1A4" w:rsidP="008F21A4">
            <w:pPr>
              <w:pStyle w:val="BodyText"/>
            </w:pPr>
            <w:r w:rsidRPr="008F21A4">
              <w:t>Not applicable.</w:t>
            </w:r>
          </w:p>
        </w:tc>
      </w:tr>
    </w:tbl>
    <w:p w:rsidR="009A1668" w:rsidP="008F21A4">
      <w:pPr>
        <w:pStyle w:val="NoPaddingFontSize1"/>
      </w:pPr>
    </w:p>
    <w:p w:rsidR="009A1668" w:rsidP="008F21A4">
      <w:pPr>
        <w:pStyle w:val="NoPaddingFontSize1"/>
      </w:pPr>
    </w:p>
    <w:p w:rsidR="00000000" w:rsidRPr="008F21A4" w:rsidP="008F21A4">
      <w:pPr>
        <w:pStyle w:val="Heading1"/>
      </w:pPr>
      <w:bookmarkStart w:id="4" w:name="O_1097940"/>
      <w:bookmarkEnd w:id="4"/>
      <w:r w:rsidRPr="008F21A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21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1A4" w:rsidP="008F21A4">
            <w:pPr>
              <w:pStyle w:val="BodyText"/>
            </w:pPr>
            <w:r w:rsidRPr="008F21A4">
              <w:t>Explosive</w:t>
            </w:r>
            <w:r w:rsidRPr="008F21A4">
              <w:t xml:space="preserve"> Ordnance</w:t>
            </w:r>
          </w:p>
        </w:tc>
      </w:tr>
    </w:tbl>
    <w:p w:rsidR="009A1668" w:rsidP="008F21A4">
      <w:pPr>
        <w:pStyle w:val="NoPaddingFontSize1"/>
      </w:pPr>
    </w:p>
    <w:p w:rsidR="009A1668" w:rsidP="008F21A4">
      <w:pPr>
        <w:pStyle w:val="NoPaddingFontSize1"/>
      </w:pPr>
    </w:p>
    <w:p w:rsidR="00000000" w:rsidRPr="008F21A4" w:rsidP="008F21A4">
      <w:pPr>
        <w:pStyle w:val="Heading1"/>
      </w:pPr>
      <w:bookmarkStart w:id="5" w:name="O_1104726"/>
      <w:bookmarkEnd w:id="5"/>
      <w:r w:rsidRPr="008F21A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21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1A4" w:rsidP="008F21A4">
            <w:pPr>
              <w:pStyle w:val="BodyText"/>
            </w:pPr>
            <w:r w:rsidRPr="008F21A4">
              <w:t>Not applicable.</w:t>
            </w:r>
          </w:p>
        </w:tc>
      </w:tr>
    </w:tbl>
    <w:p w:rsidR="009A1668" w:rsidP="008F21A4">
      <w:pPr>
        <w:pStyle w:val="NoPaddingFontSize1"/>
      </w:pPr>
    </w:p>
    <w:p w:rsidR="009A1668" w:rsidP="008F21A4">
      <w:pPr>
        <w:pStyle w:val="NoPaddingFontSize1"/>
      </w:pPr>
    </w:p>
    <w:p w:rsidR="00000000" w:rsidRPr="008F21A4" w:rsidP="008F21A4">
      <w:pPr>
        <w:pStyle w:val="Heading1"/>
      </w:pPr>
      <w:bookmarkStart w:id="6" w:name="O_1097939"/>
      <w:bookmarkEnd w:id="6"/>
      <w:r w:rsidRPr="008F21A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8F21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1A4" w:rsidP="008F21A4">
            <w:pPr>
              <w:pStyle w:val="BodyText"/>
            </w:pPr>
            <w:r w:rsidRPr="008F21A4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1A4">
            <w:pPr>
              <w:pStyle w:val="BodyText"/>
              <w:rPr>
                <w:lang w:val="en-NZ"/>
              </w:rPr>
            </w:pPr>
            <w:r w:rsidRPr="008F21A4">
              <w:rPr>
                <w:rStyle w:val="SpecialBold"/>
              </w:rPr>
              <w:t>PERFORMANCE CRITERIA</w:t>
            </w:r>
          </w:p>
        </w:tc>
      </w:tr>
      <w:tr w:rsidTr="008F21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1A4">
            <w:pPr>
              <w:pStyle w:val="BodyText"/>
              <w:rPr>
                <w:lang w:val="en-NZ"/>
              </w:rPr>
            </w:pPr>
            <w:r w:rsidRPr="008F21A4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1A4">
            <w:pPr>
              <w:pStyle w:val="BodyText"/>
              <w:rPr>
                <w:lang w:val="en-NZ"/>
              </w:rPr>
            </w:pPr>
            <w:r w:rsidRPr="008F21A4">
              <w:t>Performance criteria describe the performance needed to demonstrate achievement of the element.</w:t>
            </w:r>
          </w:p>
        </w:tc>
      </w:tr>
      <w:tr w:rsidTr="008F21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1A4" w:rsidP="008F21A4">
            <w:pPr>
              <w:pStyle w:val="BodyText"/>
            </w:pPr>
            <w:r w:rsidRPr="008F21A4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1A4" w:rsidP="008F21A4">
            <w:pPr>
              <w:pStyle w:val="BodyText"/>
            </w:pPr>
            <w:r w:rsidRPr="008F21A4">
              <w:rPr>
                <w:rStyle w:val="SpecialBold"/>
              </w:rPr>
              <w:t>Prepare for disposal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1A4">
            <w:pPr>
              <w:pStyle w:val="BodyText"/>
              <w:rPr>
                <w:lang w:val="en-NZ"/>
              </w:rPr>
            </w:pPr>
            <w:r w:rsidRPr="008F21A4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1A4">
            <w:pPr>
              <w:pStyle w:val="BodyText"/>
              <w:rPr>
                <w:lang w:val="en-NZ"/>
              </w:rPr>
            </w:pPr>
            <w:r w:rsidRPr="008F21A4">
              <w:t>Identify requirements for disposal of non-explosive dangerous goods</w:t>
            </w:r>
          </w:p>
        </w:tc>
      </w:tr>
      <w:tr w:rsidTr="008F21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1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1A4">
            <w:pPr>
              <w:pStyle w:val="BodyText"/>
              <w:rPr>
                <w:lang w:val="en-NZ"/>
              </w:rPr>
            </w:pPr>
            <w:r w:rsidRPr="008F21A4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1A4">
            <w:pPr>
              <w:pStyle w:val="BodyText"/>
              <w:rPr>
                <w:lang w:val="en-NZ"/>
              </w:rPr>
            </w:pPr>
            <w:r w:rsidRPr="008F21A4">
              <w:t>Confirm non-explosive dangerous goods to be disposed of and disposal method</w:t>
            </w:r>
          </w:p>
        </w:tc>
      </w:tr>
      <w:tr w:rsidTr="008F21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1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1A4">
            <w:pPr>
              <w:pStyle w:val="BodyText"/>
              <w:rPr>
                <w:lang w:val="en-NZ"/>
              </w:rPr>
            </w:pPr>
            <w:r w:rsidRPr="008F21A4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1A4">
            <w:pPr>
              <w:pStyle w:val="BodyText"/>
              <w:rPr>
                <w:lang w:val="en-NZ"/>
              </w:rPr>
            </w:pPr>
            <w:r w:rsidRPr="008F21A4">
              <w:t>Identify and apply documentation and instructions</w:t>
            </w:r>
          </w:p>
        </w:tc>
      </w:tr>
      <w:tr w:rsidTr="008F21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1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1A4">
            <w:pPr>
              <w:pStyle w:val="BodyText"/>
              <w:rPr>
                <w:lang w:val="en-NZ"/>
              </w:rPr>
            </w:pPr>
            <w:r w:rsidRPr="008F21A4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1A4">
            <w:pPr>
              <w:pStyle w:val="BodyText"/>
              <w:rPr>
                <w:lang w:val="en-NZ"/>
              </w:rPr>
            </w:pPr>
            <w:r w:rsidRPr="008F21A4">
              <w:t>Notify and liaise with stakeholders</w:t>
            </w:r>
          </w:p>
        </w:tc>
      </w:tr>
      <w:tr w:rsidTr="008F21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1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1A4">
            <w:pPr>
              <w:pStyle w:val="BodyText"/>
              <w:rPr>
                <w:lang w:val="en-NZ"/>
              </w:rPr>
            </w:pPr>
            <w:r w:rsidRPr="008F21A4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1A4">
            <w:pPr>
              <w:pStyle w:val="BodyText"/>
              <w:rPr>
                <w:lang w:val="en-NZ"/>
              </w:rPr>
            </w:pPr>
            <w:r w:rsidRPr="008F21A4">
              <w:t>Complete disposal preparation</w:t>
            </w:r>
          </w:p>
        </w:tc>
      </w:tr>
      <w:tr w:rsidTr="008F21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1A4" w:rsidP="008F21A4">
            <w:pPr>
              <w:pStyle w:val="BodyText"/>
            </w:pPr>
            <w:r w:rsidRPr="008F21A4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1A4" w:rsidP="008F21A4">
            <w:pPr>
              <w:pStyle w:val="BodyText"/>
            </w:pPr>
            <w:r w:rsidRPr="008F21A4">
              <w:rPr>
                <w:rStyle w:val="SpecialBold"/>
              </w:rPr>
              <w:t>Dispose of non-explosive dangerous goods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1A4">
            <w:pPr>
              <w:pStyle w:val="BodyText"/>
              <w:rPr>
                <w:lang w:val="en-NZ"/>
              </w:rPr>
            </w:pPr>
            <w:r w:rsidRPr="008F21A4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1A4">
            <w:pPr>
              <w:pStyle w:val="BodyText"/>
              <w:rPr>
                <w:lang w:val="en-NZ"/>
              </w:rPr>
            </w:pPr>
            <w:r w:rsidRPr="008F21A4">
              <w:t>Prepare and test disposal equipment</w:t>
            </w:r>
          </w:p>
        </w:tc>
      </w:tr>
      <w:tr w:rsidTr="008F21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1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1A4">
            <w:pPr>
              <w:pStyle w:val="BodyText"/>
              <w:rPr>
                <w:lang w:val="en-NZ"/>
              </w:rPr>
            </w:pPr>
            <w:r w:rsidRPr="008F21A4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1A4">
            <w:pPr>
              <w:pStyle w:val="BodyText"/>
              <w:rPr>
                <w:lang w:val="en-NZ"/>
              </w:rPr>
            </w:pPr>
            <w:r w:rsidRPr="008F21A4">
              <w:t>Dispose of non-explosive dangerous goods</w:t>
            </w:r>
          </w:p>
        </w:tc>
      </w:tr>
      <w:tr w:rsidTr="008F21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1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1A4">
            <w:pPr>
              <w:pStyle w:val="BodyText"/>
              <w:rPr>
                <w:lang w:val="en-NZ"/>
              </w:rPr>
            </w:pPr>
            <w:r w:rsidRPr="008F21A4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1A4">
            <w:pPr>
              <w:pStyle w:val="BodyText"/>
              <w:rPr>
                <w:lang w:val="en-NZ"/>
              </w:rPr>
            </w:pPr>
            <w:r w:rsidRPr="008F21A4">
              <w:t>Apply emergency and contingency procedures</w:t>
            </w:r>
          </w:p>
        </w:tc>
      </w:tr>
      <w:tr w:rsidTr="008F21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1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1A4">
            <w:pPr>
              <w:pStyle w:val="BodyText"/>
              <w:rPr>
                <w:lang w:val="en-NZ"/>
              </w:rPr>
            </w:pPr>
            <w:r w:rsidRPr="008F21A4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1A4">
            <w:pPr>
              <w:pStyle w:val="BodyText"/>
              <w:rPr>
                <w:lang w:val="en-NZ"/>
              </w:rPr>
            </w:pPr>
            <w:r w:rsidRPr="008F21A4">
              <w:t>Inspect residue to ensure all items have been destroyed</w:t>
            </w:r>
          </w:p>
        </w:tc>
      </w:tr>
      <w:tr w:rsidTr="008F21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1A4" w:rsidP="008F21A4">
            <w:pPr>
              <w:pStyle w:val="BodyText"/>
            </w:pPr>
            <w:r w:rsidRPr="008F21A4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1A4" w:rsidP="008F21A4">
            <w:pPr>
              <w:pStyle w:val="BodyText"/>
            </w:pPr>
            <w:r w:rsidRPr="008F21A4">
              <w:rPr>
                <w:rStyle w:val="SpecialBold"/>
              </w:rPr>
              <w:t>Finalise the destruction process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1A4">
            <w:pPr>
              <w:pStyle w:val="BodyText"/>
              <w:rPr>
                <w:lang w:val="en-NZ"/>
              </w:rPr>
            </w:pPr>
            <w:r w:rsidRPr="008F21A4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1A4">
            <w:pPr>
              <w:pStyle w:val="BodyText"/>
              <w:rPr>
                <w:lang w:val="en-NZ"/>
              </w:rPr>
            </w:pPr>
            <w:r w:rsidRPr="008F21A4">
              <w:t>Maintain and refurbish site and/or equipment</w:t>
            </w:r>
          </w:p>
        </w:tc>
      </w:tr>
      <w:tr w:rsidTr="008F21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1A4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21A4">
            <w:pPr>
              <w:pStyle w:val="BodyText"/>
              <w:rPr>
                <w:lang w:val="en-NZ"/>
              </w:rPr>
            </w:pPr>
            <w:r w:rsidRPr="008F21A4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1A4" w:rsidP="008F21A4">
            <w:pPr>
              <w:pStyle w:val="BodyText"/>
            </w:pPr>
            <w:r w:rsidRPr="008F21A4">
              <w:t>Maintain documentation and records</w:t>
            </w:r>
          </w:p>
        </w:tc>
      </w:tr>
    </w:tbl>
    <w:p w:rsidR="009A1668" w:rsidP="008F21A4">
      <w:pPr>
        <w:pStyle w:val="NoPaddingFontSize1"/>
      </w:pPr>
    </w:p>
    <w:p w:rsidR="009A1668" w:rsidP="008F21A4">
      <w:pPr>
        <w:pStyle w:val="NoPaddingFontSize1"/>
      </w:pPr>
    </w:p>
    <w:p w:rsidR="00000000" w:rsidRPr="008F21A4" w:rsidP="008F21A4">
      <w:pPr>
        <w:pStyle w:val="Heading1"/>
      </w:pPr>
      <w:bookmarkStart w:id="7" w:name="O_1097938"/>
      <w:bookmarkEnd w:id="7"/>
      <w:r w:rsidRPr="008F21A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21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1A4" w:rsidP="008F21A4">
            <w:pPr>
              <w:pStyle w:val="BodyText"/>
            </w:pPr>
            <w:r w:rsidRPr="008F21A4">
              <w:t>Foundation skills essential to performance are explicit in the performance criteria of this unit of competency.</w:t>
            </w:r>
          </w:p>
        </w:tc>
      </w:tr>
    </w:tbl>
    <w:p w:rsidR="009A1668" w:rsidP="008F21A4">
      <w:pPr>
        <w:pStyle w:val="NoPaddingFontSize1"/>
      </w:pPr>
    </w:p>
    <w:p w:rsidR="009A1668" w:rsidP="008F21A4">
      <w:pPr>
        <w:pStyle w:val="NoPaddingFontSize1"/>
      </w:pPr>
    </w:p>
    <w:p w:rsidR="00000000" w:rsidRPr="008F21A4" w:rsidP="008F21A4">
      <w:pPr>
        <w:pStyle w:val="Heading1"/>
      </w:pPr>
      <w:bookmarkStart w:id="8" w:name="O_1097937"/>
      <w:bookmarkEnd w:id="8"/>
      <w:r w:rsidRPr="008F21A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21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1A4" w:rsidP="008F21A4">
            <w:pPr>
              <w:pStyle w:val="BodyText"/>
            </w:pPr>
            <w:r w:rsidRPr="008F21A4">
              <w:t>Range is restricted to essential operating conditions and any other variables essential to the work environment.</w:t>
            </w:r>
          </w:p>
          <w:p w:rsidR="00000000" w:rsidRPr="008F21A4" w:rsidP="008F21A4">
            <w:pPr>
              <w:pStyle w:val="BodyText"/>
            </w:pPr>
            <w:r w:rsidRPr="008F21A4">
              <w:t>Non-essential conditions may be found in the Companion Volume Implementation Guide.</w:t>
            </w:r>
          </w:p>
          <w:p w:rsidR="00000000" w:rsidRPr="008F21A4" w:rsidP="008F21A4">
            <w:pPr>
              <w:pStyle w:val="BodyText"/>
            </w:pPr>
            <w:r w:rsidRPr="008F21A4">
              <w:t>Disposal methods include:</w:t>
            </w:r>
          </w:p>
          <w:p w:rsidR="00000000" w:rsidRPr="008F21A4" w:rsidP="008F21A4">
            <w:pPr>
              <w:pStyle w:val="ListBullet"/>
            </w:pPr>
            <w:r w:rsidRPr="008F21A4">
              <w:t>bur</w:t>
            </w:r>
            <w:r w:rsidRPr="008F21A4">
              <w:t>ning</w:t>
            </w:r>
          </w:p>
          <w:p w:rsidR="00000000" w:rsidRPr="008F21A4" w:rsidP="008F21A4">
            <w:pPr>
              <w:pStyle w:val="ListBullet"/>
            </w:pPr>
            <w:r w:rsidRPr="008F21A4">
              <w:t>destruction</w:t>
            </w:r>
          </w:p>
          <w:p w:rsidR="00000000" w:rsidRPr="008F21A4" w:rsidP="008F21A4">
            <w:pPr>
              <w:pStyle w:val="ListBullet"/>
            </w:pPr>
            <w:r w:rsidRPr="008F21A4">
              <w:t>functioning</w:t>
            </w:r>
          </w:p>
          <w:p w:rsidR="00000000" w:rsidRPr="008F21A4" w:rsidP="008F21A4">
            <w:pPr>
              <w:pStyle w:val="ListBullet"/>
            </w:pPr>
            <w:r w:rsidRPr="008F21A4">
              <w:t>mutilation</w:t>
            </w:r>
          </w:p>
          <w:p w:rsidR="00000000" w:rsidRPr="008F21A4" w:rsidP="008F21A4">
            <w:pPr>
              <w:pStyle w:val="ListBullet"/>
            </w:pPr>
            <w:r w:rsidRPr="008F21A4">
              <w:t>neutralisation</w:t>
            </w:r>
          </w:p>
        </w:tc>
      </w:tr>
    </w:tbl>
    <w:p w:rsidR="009A1668" w:rsidP="008F21A4">
      <w:pPr>
        <w:pStyle w:val="NoPaddingFontSize1"/>
      </w:pPr>
    </w:p>
    <w:p w:rsidR="009A1668" w:rsidP="008F21A4">
      <w:pPr>
        <w:pStyle w:val="NoPaddingFontSize1"/>
      </w:pPr>
    </w:p>
    <w:p w:rsidR="00000000" w:rsidRPr="008F21A4" w:rsidP="008F21A4">
      <w:pPr>
        <w:pStyle w:val="Heading1"/>
      </w:pPr>
      <w:bookmarkStart w:id="9" w:name="O_1097936"/>
      <w:bookmarkEnd w:id="9"/>
      <w:r w:rsidRPr="008F21A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F21A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21A4" w:rsidP="008F21A4">
            <w:pPr>
              <w:pStyle w:val="BodyText"/>
            </w:pPr>
            <w:r w:rsidRPr="008F21A4">
              <w:t>This unit supersedes and is equivalent to DEFEO203C Dispose of non-explosive dangerous goods.</w:t>
            </w:r>
          </w:p>
        </w:tc>
      </w:tr>
    </w:tbl>
    <w:p w:rsidR="009A1668" w:rsidP="008F21A4">
      <w:pPr>
        <w:pStyle w:val="NoPaddingFontSize1"/>
      </w:pPr>
    </w:p>
    <w:p w:rsidR="009A1668" w:rsidP="008F21A4">
      <w:pPr>
        <w:pStyle w:val="NoPaddingFontSize1"/>
      </w:pPr>
    </w:p>
    <w:p w:rsidR="00000000" w:rsidRPr="008F21A4" w:rsidP="008F21A4">
      <w:pPr>
        <w:pStyle w:val="Heading1"/>
      </w:pPr>
      <w:bookmarkStart w:id="10" w:name="O_1097943"/>
      <w:bookmarkEnd w:id="10"/>
      <w:r w:rsidRPr="008F21A4">
        <w:t>Links</w:t>
      </w:r>
    </w:p>
    <w:p w:rsidR="00000000" w:rsidRPr="008F21A4" w:rsidP="009A1668">
      <w:pPr>
        <w:pStyle w:val="BodyText"/>
      </w:pPr>
      <w:r w:rsidRPr="008F21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9336AD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8F21A4" w:rsidP="008F21A4"/>
    <w:sectPr w:rsidSect="008F21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1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1A4" w:rsidRPr="009A1668" w:rsidP="009A16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1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668" w:rsidP="008F21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1668" w:rsidP="008F21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A1668" w:rsidP="008F21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1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6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21A4" w:rsidRPr="009A1668" w:rsidP="009A16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21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668" w:rsidRPr="002D2AF8" w:rsidP="008F21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DEFEXO103 Dispose of non-explosive dangerous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9A1668" w:rsidP="008F21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B8633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F254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1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21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21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21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21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21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21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21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21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21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21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21A4"/>
  </w:style>
  <w:style w:type="character" w:customStyle="1" w:styleId="Heading1Char">
    <w:name w:val="Heading 1 Char"/>
    <w:basedOn w:val="DefaultParagraphFont"/>
    <w:link w:val="Heading1"/>
    <w:rsid w:val="008F21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21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21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21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21A4"/>
    <w:rPr>
      <w:b/>
      <w:spacing w:val="0"/>
    </w:rPr>
  </w:style>
  <w:style w:type="paragraph" w:customStyle="1" w:styleId="SuperHeading">
    <w:name w:val="SuperHeading"/>
    <w:basedOn w:val="Normal"/>
    <w:rsid w:val="008F21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21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F21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21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21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21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21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21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21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21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21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21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21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21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21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21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21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21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21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21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21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21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21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21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21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21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21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21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21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21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21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21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21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21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21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F21A4"/>
    <w:rPr>
      <w:i/>
    </w:rPr>
  </w:style>
  <w:style w:type="paragraph" w:styleId="Caption">
    <w:name w:val="caption"/>
    <w:basedOn w:val="BodyText"/>
    <w:next w:val="Normal"/>
    <w:qFormat/>
    <w:rsid w:val="008F21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21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21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21A4"/>
  </w:style>
  <w:style w:type="paragraph" w:styleId="TableofFigures">
    <w:name w:val="table of figures"/>
    <w:basedOn w:val="Normal"/>
    <w:next w:val="Normal"/>
    <w:semiHidden/>
    <w:rsid w:val="008F21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21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21A4"/>
    <w:rPr>
      <w:rFonts w:ascii="Wingdings" w:hAnsi="Wingdings"/>
    </w:rPr>
  </w:style>
  <w:style w:type="paragraph" w:customStyle="1" w:styleId="TableHeading">
    <w:name w:val="Table Heading"/>
    <w:basedOn w:val="HeadingBase"/>
    <w:rsid w:val="008F21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21A4"/>
    <w:rPr>
      <w:color w:val="0033CC"/>
      <w:u w:val="none"/>
    </w:rPr>
  </w:style>
  <w:style w:type="paragraph" w:customStyle="1" w:styleId="BodyTextRight">
    <w:name w:val="Body Text Right"/>
    <w:basedOn w:val="BodyText"/>
    <w:rsid w:val="008F21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21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21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21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21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21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21A4"/>
    <w:rPr>
      <w:sz w:val="32"/>
    </w:rPr>
  </w:style>
  <w:style w:type="paragraph" w:customStyle="1" w:styleId="HeadingProcedure">
    <w:name w:val="Heading Procedure"/>
    <w:basedOn w:val="HeadingBase"/>
    <w:next w:val="Normal"/>
    <w:rsid w:val="008F21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21A4"/>
    <w:pPr>
      <w:spacing w:before="60" w:after="60"/>
    </w:pPr>
  </w:style>
  <w:style w:type="paragraph" w:styleId="ListContinue">
    <w:name w:val="List Continue"/>
    <w:basedOn w:val="List"/>
    <w:rsid w:val="008F21A4"/>
    <w:pPr>
      <w:ind w:firstLine="0"/>
    </w:pPr>
  </w:style>
  <w:style w:type="paragraph" w:customStyle="1" w:styleId="ListNote">
    <w:name w:val="List Note"/>
    <w:basedOn w:val="List"/>
    <w:rsid w:val="008F21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21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21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21A4"/>
    <w:rPr>
      <w:rFonts w:ascii="Courier New" w:hAnsi="Courier New"/>
    </w:rPr>
  </w:style>
  <w:style w:type="paragraph" w:customStyle="1" w:styleId="NoteBullet">
    <w:name w:val="Note Bullet"/>
    <w:basedOn w:val="Note"/>
    <w:rsid w:val="008F21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21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21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21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21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21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21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21A4"/>
    <w:rPr>
      <w:b/>
      <w:smallCaps/>
    </w:rPr>
  </w:style>
  <w:style w:type="paragraph" w:customStyle="1" w:styleId="TableListNumber">
    <w:name w:val="Table List Number"/>
    <w:basedOn w:val="ListNumber"/>
    <w:rsid w:val="008F21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21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21A4"/>
    <w:pPr>
      <w:numPr>
        <w:numId w:val="8"/>
      </w:numPr>
    </w:pPr>
  </w:style>
  <w:style w:type="paragraph" w:customStyle="1" w:styleId="ListAlpha2">
    <w:name w:val="List Alpha 2"/>
    <w:basedOn w:val="List2"/>
    <w:rsid w:val="008F21A4"/>
    <w:pPr>
      <w:numPr>
        <w:numId w:val="7"/>
      </w:numPr>
    </w:pPr>
  </w:style>
  <w:style w:type="paragraph" w:styleId="List2">
    <w:name w:val="List 2"/>
    <w:basedOn w:val="BodyText"/>
    <w:rsid w:val="008F21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21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21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21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21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21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21A4"/>
    <w:pPr>
      <w:numPr>
        <w:numId w:val="3"/>
      </w:numPr>
    </w:pPr>
  </w:style>
  <w:style w:type="paragraph" w:styleId="ListContinue2">
    <w:name w:val="List Continue 2"/>
    <w:basedOn w:val="List2"/>
    <w:rsid w:val="008F21A4"/>
    <w:pPr>
      <w:ind w:firstLine="0"/>
    </w:pPr>
  </w:style>
  <w:style w:type="paragraph" w:styleId="ListContinue3">
    <w:name w:val="List Continue 3"/>
    <w:basedOn w:val="List3"/>
    <w:rsid w:val="008F21A4"/>
    <w:pPr>
      <w:ind w:left="1021" w:firstLine="0"/>
    </w:pPr>
  </w:style>
  <w:style w:type="paragraph" w:styleId="ListContinue4">
    <w:name w:val="List Continue 4"/>
    <w:basedOn w:val="List4"/>
    <w:rsid w:val="008F21A4"/>
    <w:pPr>
      <w:ind w:firstLine="0"/>
    </w:pPr>
  </w:style>
  <w:style w:type="paragraph" w:styleId="ListContinue5">
    <w:name w:val="List Continue 5"/>
    <w:basedOn w:val="List5"/>
    <w:rsid w:val="008F21A4"/>
    <w:pPr>
      <w:ind w:firstLine="0"/>
    </w:pPr>
  </w:style>
  <w:style w:type="paragraph" w:styleId="ListNumber3">
    <w:name w:val="List Number 3"/>
    <w:basedOn w:val="List3"/>
    <w:rsid w:val="008F21A4"/>
    <w:pPr>
      <w:numPr>
        <w:numId w:val="4"/>
      </w:numPr>
    </w:pPr>
  </w:style>
  <w:style w:type="paragraph" w:styleId="ListNumber4">
    <w:name w:val="List Number 4"/>
    <w:basedOn w:val="List4"/>
    <w:rsid w:val="008F21A4"/>
    <w:pPr>
      <w:numPr>
        <w:numId w:val="5"/>
      </w:numPr>
    </w:pPr>
  </w:style>
  <w:style w:type="paragraph" w:styleId="ListNumber5">
    <w:name w:val="List Number 5"/>
    <w:basedOn w:val="List5"/>
    <w:rsid w:val="008F21A4"/>
    <w:pPr>
      <w:numPr>
        <w:numId w:val="6"/>
      </w:numPr>
    </w:pPr>
  </w:style>
  <w:style w:type="paragraph" w:styleId="BlockText">
    <w:name w:val="Block Text"/>
    <w:basedOn w:val="Normal"/>
    <w:rsid w:val="008F21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21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21A4"/>
    <w:rPr>
      <w:sz w:val="16"/>
      <w:vertAlign w:val="superscript"/>
    </w:rPr>
  </w:style>
  <w:style w:type="character" w:customStyle="1" w:styleId="Symbols">
    <w:name w:val="Symbols"/>
    <w:basedOn w:val="DefaultParagraphFont"/>
    <w:rsid w:val="008F21A4"/>
    <w:rPr>
      <w:rFonts w:ascii="Symbol" w:hAnsi="Symbol"/>
    </w:rPr>
  </w:style>
  <w:style w:type="character" w:customStyle="1" w:styleId="MenuOptions">
    <w:name w:val="Menu Options"/>
    <w:basedOn w:val="DefaultParagraphFont"/>
    <w:rsid w:val="008F21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21A4"/>
    <w:rPr>
      <w:b/>
    </w:rPr>
  </w:style>
  <w:style w:type="character" w:customStyle="1" w:styleId="Underlined">
    <w:name w:val="Underlined"/>
    <w:basedOn w:val="DefaultParagraphFont"/>
    <w:rsid w:val="008F21A4"/>
    <w:rPr>
      <w:u w:val="single"/>
    </w:rPr>
  </w:style>
  <w:style w:type="paragraph" w:customStyle="1" w:styleId="TableBodyTextRight">
    <w:name w:val="Table Body Text Right"/>
    <w:basedOn w:val="TableBodyText"/>
    <w:rsid w:val="008F21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21A4"/>
    <w:rPr>
      <w:sz w:val="18"/>
    </w:rPr>
  </w:style>
  <w:style w:type="paragraph" w:customStyle="1" w:styleId="BodySmallRight">
    <w:name w:val="Body Small Right"/>
    <w:basedOn w:val="BodyTextRight"/>
    <w:rsid w:val="008F21A4"/>
    <w:rPr>
      <w:sz w:val="18"/>
      <w:szCs w:val="18"/>
    </w:rPr>
  </w:style>
  <w:style w:type="paragraph" w:customStyle="1" w:styleId="MarginEdition">
    <w:name w:val="Margin Edition"/>
    <w:basedOn w:val="MarginNote"/>
    <w:rsid w:val="008F21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21A4"/>
    <w:rPr>
      <w:sz w:val="2"/>
      <w:szCs w:val="2"/>
    </w:rPr>
  </w:style>
  <w:style w:type="character" w:customStyle="1" w:styleId="Small">
    <w:name w:val="Small"/>
    <w:basedOn w:val="DefaultParagraphFont"/>
    <w:rsid w:val="008F21A4"/>
    <w:rPr>
      <w:sz w:val="16"/>
    </w:rPr>
  </w:style>
  <w:style w:type="paragraph" w:customStyle="1" w:styleId="WideTable">
    <w:name w:val="Wide Table"/>
    <w:basedOn w:val="Normal"/>
    <w:rsid w:val="008F21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21A4"/>
  </w:style>
  <w:style w:type="paragraph" w:styleId="Quote">
    <w:name w:val="Quote"/>
    <w:basedOn w:val="Heading1"/>
    <w:link w:val="QuoteChar"/>
    <w:qFormat/>
    <w:rsid w:val="008F21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21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21A4"/>
    <w:pPr>
      <w:pageBreakBefore/>
    </w:pPr>
  </w:style>
  <w:style w:type="paragraph" w:customStyle="1" w:styleId="Border">
    <w:name w:val="Border"/>
    <w:basedOn w:val="Normal"/>
    <w:qFormat/>
    <w:rsid w:val="008F21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21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21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21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21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21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21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21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21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21A4"/>
    <w:rPr>
      <w:u w:val="single"/>
    </w:rPr>
  </w:style>
  <w:style w:type="character" w:customStyle="1" w:styleId="BoldandItalics">
    <w:name w:val="Bold and Italics"/>
    <w:qFormat/>
    <w:rsid w:val="008F21A4"/>
    <w:rPr>
      <w:b/>
      <w:i/>
      <w:u w:val="none"/>
    </w:rPr>
  </w:style>
  <w:style w:type="paragraph" w:styleId="BalloonText">
    <w:name w:val="Balloon Text"/>
    <w:basedOn w:val="Normal"/>
    <w:link w:val="BalloonTextChar"/>
    <w:rsid w:val="008F21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21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21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21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21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21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21A4"/>
    <w:pPr>
      <w:spacing w:before="0" w:after="0"/>
    </w:pPr>
  </w:style>
  <w:style w:type="paragraph" w:customStyle="1" w:styleId="BodyTextBold">
    <w:name w:val="Body Text Bold"/>
    <w:basedOn w:val="BodyText"/>
    <w:qFormat/>
    <w:rsid w:val="008F21A4"/>
    <w:rPr>
      <w:b/>
    </w:rPr>
  </w:style>
  <w:style w:type="character" w:styleId="Hyperlink">
    <w:name w:val="Hyperlink"/>
    <w:basedOn w:val="DefaultParagraphFont"/>
    <w:uiPriority w:val="99"/>
    <w:unhideWhenUsed/>
    <w:rsid w:val="009A16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463</Words>
  <Characters>2932</Characters>
  <Application>Microsoft Office Word</Application>
  <DocSecurity>0</DocSecurity>
  <Lines>139</Lines>
  <Paragraphs>87</Paragraphs>
  <ScaleCrop>false</ScaleCrop>
  <Company>Author-it Software Corporation Ltd.</Company>
  <LinksUpToDate>false</LinksUpToDate>
  <CharactersWithSpaces>3308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DEFEXO103 Dispose of non-explosive dangerous goods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2024-11-07T12:30:00Z</dcterms:created>
  <dcterms:modified xsi:type="dcterms:W3CDTF">2024-11-07T12:30:00Z</dcterms:modified>
</cp:coreProperties>
</file>