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292" w:rsidP="00244292">
      <w:pPr>
        <w:pStyle w:val="Title"/>
      </w:pPr>
      <w:r>
        <w:fldChar w:fldCharType="begin"/>
      </w:r>
      <w:r>
        <w:instrText xml:space="preserve"> TITLE   \* MERGEFORMAT </w:instrText>
      </w:r>
      <w:r>
        <w:fldChar w:fldCharType="separate"/>
      </w:r>
      <w:r>
        <w:t>DEFEXO101 Dispose of explosives</w:t>
      </w:r>
      <w:r>
        <w:fldChar w:fldCharType="end"/>
      </w:r>
    </w:p>
    <w:p w:rsidR="00244292" w:rsidP="00244292">
      <w:pPr>
        <w:pStyle w:val="Version"/>
        <w:sectPr w:rsidSect="00390A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0A2F" w:rsidP="00390A2F">
      <w:pPr>
        <w:pStyle w:val="SuperHeading"/>
      </w:pPr>
      <w:r w:rsidRPr="00390A2F">
        <w:t>DEFEXO101 Dispose of explosives</w:t>
      </w:r>
    </w:p>
    <w:p w:rsidR="00000000" w:rsidRPr="00390A2F" w:rsidP="00390A2F">
      <w:pPr>
        <w:pStyle w:val="Heading1"/>
      </w:pPr>
      <w:bookmarkStart w:id="1" w:name="O_1097895"/>
      <w:bookmarkEnd w:id="1"/>
      <w:r w:rsidRPr="00390A2F">
        <w:t>Modification History</w:t>
      </w:r>
    </w:p>
    <w:tbl>
      <w:tblPr>
        <w:tblW w:w="9497" w:type="dxa"/>
        <w:tblLayout w:type="fixed"/>
        <w:tblCellMar>
          <w:left w:w="62" w:type="dxa"/>
          <w:right w:w="62" w:type="dxa"/>
        </w:tblCellMar>
        <w:tblLook w:val="0000"/>
      </w:tblPr>
      <w:tblGrid>
        <w:gridCol w:w="9497"/>
      </w:tblGrid>
      <w:tr w:rsidTr="00390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Release 2. Modifications made to Foundation Skills and Assessment Conditions.</w:t>
            </w:r>
          </w:p>
        </w:tc>
      </w:tr>
      <w:tr w:rsidTr="00390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t>Release 1. This unit was released in DEF Defence Training Package release 1.0 and meets the Standards for Training Packages.</w:t>
            </w:r>
          </w:p>
          <w:p w:rsidR="00000000" w:rsidRPr="00390A2F" w:rsidP="00390A2F">
            <w:pPr>
              <w:pStyle w:val="BodyText"/>
            </w:pPr>
            <w:r w:rsidRPr="00390A2F">
              <w:t>This unit supersedes and is equ</w:t>
            </w:r>
            <w:r w:rsidRPr="00390A2F">
              <w:t>ivalent to DEFEO701C Dispose of explosive ordnance.</w:t>
            </w:r>
          </w:p>
          <w:p w:rsidR="00000000" w:rsidRPr="00390A2F" w:rsidP="00390A2F">
            <w:pPr>
              <w:pStyle w:val="ListBullet"/>
            </w:pPr>
            <w:r w:rsidRPr="00390A2F">
              <w:t>Unit code updated</w:t>
            </w:r>
          </w:p>
          <w:p w:rsidR="00000000" w:rsidRPr="00390A2F" w:rsidP="00390A2F">
            <w:pPr>
              <w:pStyle w:val="ListBullet"/>
            </w:pPr>
            <w:r w:rsidRPr="00390A2F">
              <w:t>Content and formatting updated to comply with the new standards</w:t>
            </w:r>
          </w:p>
          <w:p w:rsidR="00000000" w:rsidRPr="00390A2F" w:rsidP="00390A2F">
            <w:pPr>
              <w:pStyle w:val="ListBullet"/>
            </w:pPr>
            <w:r w:rsidRPr="00390A2F">
              <w:t>All PC transitioned from passive to active voice</w:t>
            </w:r>
          </w:p>
          <w:p w:rsidR="00000000" w:rsidRPr="00390A2F" w:rsidP="00390A2F">
            <w:pPr>
              <w:pStyle w:val="ListBullet"/>
            </w:pPr>
            <w:r w:rsidRPr="00390A2F">
              <w:t>PC 1.2 and 1.4 removed</w:t>
            </w:r>
          </w:p>
          <w:p w:rsidR="00000000" w:rsidRPr="00390A2F" w:rsidP="00390A2F">
            <w:pPr>
              <w:pStyle w:val="ListBullet"/>
            </w:pPr>
            <w:r w:rsidRPr="00390A2F">
              <w:t>PC 2.1 renumbered</w:t>
            </w:r>
          </w:p>
          <w:p w:rsidR="00000000" w:rsidRPr="00390A2F" w:rsidP="00390A2F">
            <w:pPr>
              <w:pStyle w:val="ListBullet"/>
            </w:pPr>
            <w:r w:rsidRPr="00390A2F">
              <w:t>Element 1 reworded</w:t>
            </w:r>
          </w:p>
        </w:tc>
      </w:tr>
    </w:tbl>
    <w:p w:rsidR="00244292" w:rsidP="00390A2F">
      <w:pPr>
        <w:pStyle w:val="NoPaddingFontSize1"/>
      </w:pPr>
    </w:p>
    <w:p w:rsidR="00244292" w:rsidP="00390A2F">
      <w:pPr>
        <w:pStyle w:val="NoPaddingFontSize1"/>
      </w:pPr>
    </w:p>
    <w:p w:rsidR="00000000" w:rsidRPr="00390A2F" w:rsidP="00390A2F">
      <w:pPr>
        <w:pStyle w:val="Heading1"/>
      </w:pPr>
      <w:bookmarkStart w:id="2" w:name="O_1097894"/>
      <w:bookmarkEnd w:id="2"/>
      <w:r w:rsidRPr="00390A2F">
        <w:t>Application</w:t>
      </w:r>
    </w:p>
    <w:tbl>
      <w:tblPr>
        <w:tblW w:w="9497" w:type="dxa"/>
        <w:tblLayout w:type="fixed"/>
        <w:tblCellMar>
          <w:left w:w="62" w:type="dxa"/>
          <w:right w:w="62" w:type="dxa"/>
        </w:tblCellMar>
        <w:tblLook w:val="0000"/>
      </w:tblPr>
      <w:tblGrid>
        <w:gridCol w:w="9497"/>
      </w:tblGrid>
      <w:tr w:rsidTr="00390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t>This unit describes the skills required to prepare a disposal site and to dispose of explosives by burning, detonation or by functioning on a licensed demolition range under controlled conditions. This unit specifically preclu</w:t>
            </w:r>
            <w:r w:rsidRPr="00390A2F">
              <w:t>des the destruction of unexploded ordnance that has malfunctioned/failed to function. The disposal of explosives may be undertaken for a variety of reasons such as expired shelf life, defectiveness or surplus to requirement, or if the explosive has been ot</w:t>
            </w:r>
            <w:r w:rsidRPr="00390A2F">
              <w:t>herwise compromised while being handled during storage, transportation or maintenance.</w:t>
            </w:r>
          </w:p>
          <w:p w:rsidR="00000000" w:rsidRPr="00390A2F" w:rsidP="00390A2F">
            <w:pPr>
              <w:pStyle w:val="BodyText"/>
            </w:pPr>
            <w:r w:rsidRPr="00390A2F">
              <w:t>This unit applies to those required to prepare a disposal site and to dispose of explosives on a licensed demolition range under controlled conditions.</w:t>
            </w:r>
          </w:p>
          <w:p w:rsidR="00000000" w:rsidRPr="00390A2F" w:rsidP="00390A2F">
            <w:pPr>
              <w:pStyle w:val="BodyText"/>
            </w:pPr>
            <w:r w:rsidRPr="00390A2F">
              <w:t>The skills and kn</w:t>
            </w:r>
            <w:r w:rsidRPr="00390A2F">
              <w:t>owledge described in this unit must be applied within the legislative, regulatory and policy environment in which they are carried out. Organisational policies and procedures must be consulted and adhered to.</w:t>
            </w:r>
          </w:p>
          <w:p w:rsidR="00000000" w:rsidRPr="00390A2F" w:rsidP="00390A2F">
            <w:pPr>
              <w:pStyle w:val="BodyText"/>
            </w:pPr>
            <w:r w:rsidRPr="00390A2F">
              <w:t>Those undertaking this unit would work independ</w:t>
            </w:r>
            <w:r w:rsidRPr="00390A2F">
              <w:t>ently and under direct or indirect supervision, use discretion and judgement, and take responsibility for the quality of their output. They would perform routine tasks in a range of contexts.</w:t>
            </w:r>
          </w:p>
          <w:p w:rsidR="00000000" w:rsidRPr="00390A2F" w:rsidP="00390A2F">
            <w:pPr>
              <w:pStyle w:val="BodyText"/>
            </w:pPr>
            <w:r w:rsidRPr="00390A2F">
              <w:t>No licensing, legislative or certification requirements apply to</w:t>
            </w:r>
            <w:r w:rsidRPr="00390A2F">
              <w:t xml:space="preserve"> unit at the time of publication.</w:t>
            </w:r>
          </w:p>
        </w:tc>
      </w:tr>
    </w:tbl>
    <w:p w:rsidR="00244292" w:rsidP="00390A2F">
      <w:pPr>
        <w:pStyle w:val="NoPaddingFontSize1"/>
      </w:pPr>
    </w:p>
    <w:p w:rsidR="00244292" w:rsidP="00390A2F">
      <w:pPr>
        <w:pStyle w:val="NoPaddingFontSize1"/>
      </w:pPr>
    </w:p>
    <w:p w:rsidR="00000000" w:rsidRPr="00390A2F" w:rsidP="00390A2F">
      <w:pPr>
        <w:pStyle w:val="Heading1"/>
      </w:pPr>
      <w:bookmarkStart w:id="3" w:name="O_1104719"/>
      <w:bookmarkEnd w:id="3"/>
      <w:r w:rsidRPr="00390A2F">
        <w:t>Pre-requisite Unit</w:t>
      </w:r>
    </w:p>
    <w:tbl>
      <w:tblPr>
        <w:tblW w:w="9497" w:type="dxa"/>
        <w:tblLayout w:type="fixed"/>
        <w:tblCellMar>
          <w:left w:w="62" w:type="dxa"/>
          <w:right w:w="62" w:type="dxa"/>
        </w:tblCellMar>
        <w:tblLook w:val="0000"/>
      </w:tblPr>
      <w:tblGrid>
        <w:gridCol w:w="9497"/>
      </w:tblGrid>
      <w:tr w:rsidTr="00390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t>Not applicable.</w:t>
            </w:r>
          </w:p>
        </w:tc>
      </w:tr>
    </w:tbl>
    <w:p w:rsidR="00244292" w:rsidP="00390A2F">
      <w:pPr>
        <w:pStyle w:val="NoPaddingFontSize1"/>
      </w:pPr>
    </w:p>
    <w:p w:rsidR="00244292" w:rsidP="00390A2F">
      <w:pPr>
        <w:pStyle w:val="NoPaddingFontSize1"/>
      </w:pPr>
    </w:p>
    <w:p w:rsidR="00000000" w:rsidRPr="00390A2F" w:rsidP="00390A2F">
      <w:pPr>
        <w:pStyle w:val="Heading1"/>
      </w:pPr>
      <w:bookmarkStart w:id="4" w:name="O_1097893"/>
      <w:bookmarkEnd w:id="4"/>
      <w:r w:rsidRPr="00390A2F">
        <w:t>Competency Field</w:t>
      </w:r>
    </w:p>
    <w:tbl>
      <w:tblPr>
        <w:tblW w:w="9497" w:type="dxa"/>
        <w:tblLayout w:type="fixed"/>
        <w:tblCellMar>
          <w:left w:w="62" w:type="dxa"/>
          <w:right w:w="62" w:type="dxa"/>
        </w:tblCellMar>
        <w:tblLook w:val="0000"/>
      </w:tblPr>
      <w:tblGrid>
        <w:gridCol w:w="9497"/>
      </w:tblGrid>
      <w:tr w:rsidTr="00390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t>Explosive Ordnance</w:t>
            </w:r>
          </w:p>
        </w:tc>
      </w:tr>
    </w:tbl>
    <w:p w:rsidR="00244292" w:rsidP="00390A2F">
      <w:pPr>
        <w:pStyle w:val="NoPaddingFontSize1"/>
      </w:pPr>
    </w:p>
    <w:p w:rsidR="00244292" w:rsidP="00390A2F">
      <w:pPr>
        <w:pStyle w:val="NoPaddingFontSize1"/>
      </w:pPr>
    </w:p>
    <w:p w:rsidR="00000000" w:rsidRPr="00390A2F" w:rsidP="00390A2F">
      <w:pPr>
        <w:pStyle w:val="Heading1"/>
      </w:pPr>
      <w:bookmarkStart w:id="5" w:name="O_1104720"/>
      <w:bookmarkEnd w:id="5"/>
      <w:r w:rsidRPr="00390A2F">
        <w:t>Unit Sector</w:t>
      </w:r>
    </w:p>
    <w:tbl>
      <w:tblPr>
        <w:tblW w:w="9497" w:type="dxa"/>
        <w:tblLayout w:type="fixed"/>
        <w:tblCellMar>
          <w:left w:w="62" w:type="dxa"/>
          <w:right w:w="62" w:type="dxa"/>
        </w:tblCellMar>
        <w:tblLook w:val="0000"/>
      </w:tblPr>
      <w:tblGrid>
        <w:gridCol w:w="9497"/>
      </w:tblGrid>
      <w:tr w:rsidTr="00390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t>Not applicable.</w:t>
            </w:r>
          </w:p>
        </w:tc>
      </w:tr>
    </w:tbl>
    <w:p w:rsidR="00244292" w:rsidP="00390A2F">
      <w:pPr>
        <w:pStyle w:val="NoPaddingFontSize1"/>
      </w:pPr>
    </w:p>
    <w:p w:rsidR="00244292" w:rsidP="00390A2F">
      <w:pPr>
        <w:pStyle w:val="NoPaddingFontSize1"/>
      </w:pPr>
    </w:p>
    <w:p w:rsidR="00000000" w:rsidRPr="00390A2F" w:rsidP="00390A2F">
      <w:pPr>
        <w:pStyle w:val="Heading1"/>
      </w:pPr>
      <w:bookmarkStart w:id="6" w:name="O_1097892"/>
      <w:bookmarkEnd w:id="6"/>
      <w:r w:rsidRPr="00390A2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90A2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rPr>
                <w:rStyle w:val="SpecialBold"/>
              </w:rPr>
              <w:t>PERFORMANCE CRITERIA</w:t>
            </w:r>
          </w:p>
        </w:tc>
      </w:tr>
      <w:tr w:rsidTr="00390A2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Performance criteria describe the performance needed to demonstrate achievement of the element.</w:t>
            </w:r>
          </w:p>
        </w:tc>
      </w:tr>
      <w:tr w:rsidTr="00390A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rPr>
                <w:rStyle w:val="SpecialBold"/>
              </w:rPr>
              <w:t>Prepare for disposal</w:t>
            </w:r>
          </w:p>
        </w:tc>
        <w:tc>
          <w:tcPr>
            <w:tcW w:w="697"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Identify requirement for disposal of explosives from work requests/instructions</w:t>
            </w:r>
          </w:p>
        </w:tc>
      </w:tr>
      <w:tr w:rsidTr="00390A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0A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Confirm explosive items to be disposed of and disposal methods to be used</w:t>
            </w:r>
          </w:p>
        </w:tc>
      </w:tr>
      <w:tr w:rsidTr="00390A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0A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Liaise with parties affected by the disposal</w:t>
            </w:r>
          </w:p>
        </w:tc>
      </w:tr>
      <w:tr w:rsidTr="00390A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0A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Complete site and equipment preparation</w:t>
            </w:r>
          </w:p>
        </w:tc>
      </w:tr>
      <w:tr w:rsidTr="00390A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0A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Identify, calculate, and apply net explosive quantities and compatibility throughout the operation</w:t>
            </w:r>
          </w:p>
        </w:tc>
      </w:tr>
      <w:tr w:rsidTr="00390A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0A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Prepare and test explosive disposal initiation</w:t>
            </w:r>
          </w:p>
        </w:tc>
      </w:tr>
      <w:tr w:rsidTr="00390A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rPr>
                <w:rStyle w:val="SpecialBold"/>
              </w:rPr>
              <w:t>Dispose of explosives</w:t>
            </w:r>
          </w:p>
        </w:tc>
        <w:tc>
          <w:tcPr>
            <w:tcW w:w="697"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Dispose of explosives using</w:t>
            </w:r>
            <w:r w:rsidRPr="00390A2F">
              <w:t xml:space="preserve"> the identified disposal method</w:t>
            </w:r>
          </w:p>
        </w:tc>
      </w:tr>
      <w:tr w:rsidTr="00390A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0A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Interpret emergency procedures and apply contingency plans</w:t>
            </w:r>
          </w:p>
        </w:tc>
      </w:tr>
      <w:tr w:rsidTr="00390A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0A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Inspect residue to ensure all items have been disposed of</w:t>
            </w:r>
          </w:p>
        </w:tc>
      </w:tr>
      <w:tr w:rsidTr="00390A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rPr>
                <w:rStyle w:val="SpecialBold"/>
              </w:rPr>
              <w:t>Finalise disposal process</w:t>
            </w:r>
          </w:p>
        </w:tc>
        <w:tc>
          <w:tcPr>
            <w:tcW w:w="697"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t>Refurbish site and equipment</w:t>
            </w:r>
          </w:p>
        </w:tc>
      </w:tr>
      <w:tr w:rsidTr="00390A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0A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90A2F">
            <w:pPr>
              <w:pStyle w:val="BodyText"/>
              <w:rPr>
                <w:lang w:val="en-NZ"/>
              </w:rPr>
            </w:pPr>
            <w:r w:rsidRPr="00390A2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t>Maintain documentation and records</w:t>
            </w:r>
          </w:p>
        </w:tc>
      </w:tr>
    </w:tbl>
    <w:p w:rsidR="00244292" w:rsidP="00390A2F">
      <w:pPr>
        <w:pStyle w:val="NoPaddingFontSize1"/>
      </w:pPr>
    </w:p>
    <w:p w:rsidR="00244292" w:rsidP="00390A2F">
      <w:pPr>
        <w:pStyle w:val="NoPaddingFontSize1"/>
      </w:pPr>
    </w:p>
    <w:p w:rsidR="00000000" w:rsidRPr="00390A2F" w:rsidP="00390A2F">
      <w:pPr>
        <w:pStyle w:val="Heading1"/>
      </w:pPr>
      <w:bookmarkStart w:id="7" w:name="O_1097891"/>
      <w:bookmarkEnd w:id="7"/>
      <w:r w:rsidRPr="00390A2F">
        <w:t>Foundation Skills</w:t>
      </w:r>
    </w:p>
    <w:tbl>
      <w:tblPr>
        <w:tblW w:w="9497" w:type="dxa"/>
        <w:tblLayout w:type="fixed"/>
        <w:tblCellMar>
          <w:left w:w="62" w:type="dxa"/>
          <w:right w:w="62" w:type="dxa"/>
        </w:tblCellMar>
        <w:tblLook w:val="0000"/>
      </w:tblPr>
      <w:tblGrid>
        <w:gridCol w:w="9497"/>
      </w:tblGrid>
      <w:tr w:rsidTr="00390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t>Foundation skills essential to performance are explicit in the performance criteria of this unit of competency.</w:t>
            </w:r>
          </w:p>
        </w:tc>
      </w:tr>
    </w:tbl>
    <w:p w:rsidR="00244292" w:rsidP="00390A2F">
      <w:pPr>
        <w:pStyle w:val="NoPaddingFontSize1"/>
      </w:pPr>
    </w:p>
    <w:p w:rsidR="00244292" w:rsidP="00390A2F">
      <w:pPr>
        <w:pStyle w:val="NoPaddingFontSize1"/>
      </w:pPr>
    </w:p>
    <w:p w:rsidR="00000000" w:rsidRPr="00390A2F" w:rsidP="00390A2F">
      <w:pPr>
        <w:pStyle w:val="Heading1"/>
      </w:pPr>
      <w:bookmarkStart w:id="8" w:name="O_1104721"/>
      <w:bookmarkEnd w:id="8"/>
      <w:r w:rsidRPr="00390A2F">
        <w:t>Range of Conditions</w:t>
      </w:r>
    </w:p>
    <w:tbl>
      <w:tblPr>
        <w:tblW w:w="9497" w:type="dxa"/>
        <w:tblLayout w:type="fixed"/>
        <w:tblCellMar>
          <w:left w:w="62" w:type="dxa"/>
          <w:right w:w="62" w:type="dxa"/>
        </w:tblCellMar>
        <w:tblLook w:val="0000"/>
      </w:tblPr>
      <w:tblGrid>
        <w:gridCol w:w="9497"/>
      </w:tblGrid>
      <w:tr w:rsidTr="00390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t xml:space="preserve">Range is restricted to essential operating conditions and any other variables essential to the work </w:t>
            </w:r>
            <w:r w:rsidRPr="00390A2F">
              <w:t>environment.</w:t>
            </w:r>
          </w:p>
          <w:p w:rsidR="00000000" w:rsidRPr="00390A2F" w:rsidP="00390A2F">
            <w:pPr>
              <w:pStyle w:val="BodyText"/>
            </w:pPr>
            <w:r w:rsidRPr="00390A2F">
              <w:t>Non-essential conditions may be found in the Companion Volume Implementation Guide.</w:t>
            </w:r>
          </w:p>
        </w:tc>
      </w:tr>
    </w:tbl>
    <w:p w:rsidR="00244292" w:rsidP="00390A2F">
      <w:pPr>
        <w:pStyle w:val="NoPaddingFontSize1"/>
      </w:pPr>
    </w:p>
    <w:p w:rsidR="00244292" w:rsidP="00390A2F">
      <w:pPr>
        <w:pStyle w:val="NoPaddingFontSize1"/>
      </w:pPr>
    </w:p>
    <w:p w:rsidR="00000000" w:rsidRPr="00390A2F" w:rsidP="00390A2F">
      <w:pPr>
        <w:pStyle w:val="Heading1"/>
      </w:pPr>
      <w:bookmarkStart w:id="9" w:name="O_1097890"/>
      <w:bookmarkEnd w:id="9"/>
      <w:r w:rsidRPr="00390A2F">
        <w:t>Unit Mapping Information</w:t>
      </w:r>
    </w:p>
    <w:tbl>
      <w:tblPr>
        <w:tblW w:w="9497" w:type="dxa"/>
        <w:tblLayout w:type="fixed"/>
        <w:tblCellMar>
          <w:left w:w="62" w:type="dxa"/>
          <w:right w:w="62" w:type="dxa"/>
        </w:tblCellMar>
        <w:tblLook w:val="0000"/>
      </w:tblPr>
      <w:tblGrid>
        <w:gridCol w:w="9497"/>
      </w:tblGrid>
      <w:tr w:rsidTr="00390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A2F" w:rsidP="00390A2F">
            <w:pPr>
              <w:pStyle w:val="BodyText"/>
            </w:pPr>
            <w:r w:rsidRPr="00390A2F">
              <w:t>This unit su</w:t>
            </w:r>
            <w:r w:rsidRPr="00390A2F">
              <w:t>persedes and is equivalent to DEFEO701C Dispose of explosive ordnance.</w:t>
            </w:r>
          </w:p>
        </w:tc>
      </w:tr>
    </w:tbl>
    <w:p w:rsidR="00244292" w:rsidP="00390A2F">
      <w:pPr>
        <w:pStyle w:val="NoPaddingFontSize1"/>
      </w:pPr>
    </w:p>
    <w:p w:rsidR="00244292" w:rsidP="00390A2F">
      <w:pPr>
        <w:pStyle w:val="NoPaddingFontSize1"/>
      </w:pPr>
    </w:p>
    <w:p w:rsidR="00000000" w:rsidRPr="00390A2F" w:rsidP="00390A2F">
      <w:pPr>
        <w:pStyle w:val="Heading1"/>
      </w:pPr>
      <w:bookmarkStart w:id="10" w:name="O_1097896"/>
      <w:bookmarkEnd w:id="10"/>
      <w:r w:rsidRPr="00390A2F">
        <w:t>Links</w:t>
      </w:r>
    </w:p>
    <w:p w:rsidR="00000000" w:rsidRPr="00390A2F" w:rsidP="00244292">
      <w:pPr>
        <w:pStyle w:val="BodyText"/>
      </w:pPr>
      <w:r w:rsidRPr="00390A2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95AD3">
        <w:rPr>
          <w:rStyle w:val="Hyperlink"/>
        </w:rPr>
        <w:t>https://vetnet.gov.au/Pages/TrainingDocs.aspx?q=6bdbab1e-11ed-4bc9-9cba-9e1a55d4e4a9</w:t>
      </w:r>
      <w:r>
        <w:fldChar w:fldCharType="end"/>
      </w:r>
    </w:p>
    <w:p w:rsidR="00000000" w:rsidRPr="00390A2F" w:rsidP="00390A2F"/>
    <w:sectPr w:rsidSect="00390A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2F" w:rsidRPr="00244292" w:rsidP="00244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92" w:rsidP="00390A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4292" w:rsidP="00390A2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44292" w:rsidP="00390A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A2F" w:rsidRPr="00244292" w:rsidP="002442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92" w:rsidRPr="002D2AF8" w:rsidP="00390A2F">
    <w:pPr>
      <w:pStyle w:val="Header"/>
      <w:framePr w:wrap="around"/>
    </w:pPr>
    <w:r>
      <w:fldChar w:fldCharType="begin"/>
    </w:r>
    <w:r>
      <w:instrText xml:space="preserve"> TITLE   \* MERGEFORMAT </w:instrText>
    </w:r>
    <w:r>
      <w:fldChar w:fldCharType="separate"/>
    </w:r>
    <w:r>
      <w:t>DEFEXO101 Dispose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44292" w:rsidP="00390A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3EF9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CA27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A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A2F"/>
    <w:pPr>
      <w:spacing w:before="360" w:after="60"/>
      <w:outlineLvl w:val="0"/>
    </w:pPr>
    <w:rPr>
      <w:sz w:val="32"/>
    </w:rPr>
  </w:style>
  <w:style w:type="paragraph" w:styleId="Heading2">
    <w:name w:val="heading 2"/>
    <w:basedOn w:val="HeadingBase"/>
    <w:next w:val="BodyText"/>
    <w:link w:val="Heading2Char"/>
    <w:qFormat/>
    <w:rsid w:val="00390A2F"/>
    <w:pPr>
      <w:keepLines/>
      <w:spacing w:before="240" w:after="120"/>
      <w:outlineLvl w:val="1"/>
    </w:pPr>
    <w:rPr>
      <w:sz w:val="28"/>
      <w:szCs w:val="40"/>
    </w:rPr>
  </w:style>
  <w:style w:type="paragraph" w:styleId="Heading3">
    <w:name w:val="heading 3"/>
    <w:basedOn w:val="HeadingBase"/>
    <w:next w:val="BodyText"/>
    <w:link w:val="Heading3Char"/>
    <w:qFormat/>
    <w:rsid w:val="00390A2F"/>
    <w:pPr>
      <w:spacing w:before="180" w:after="120"/>
      <w:outlineLvl w:val="2"/>
    </w:pPr>
    <w:rPr>
      <w:spacing w:val="-10"/>
      <w:kern w:val="32"/>
    </w:rPr>
  </w:style>
  <w:style w:type="paragraph" w:styleId="Heading4">
    <w:name w:val="heading 4"/>
    <w:basedOn w:val="HeadingBase"/>
    <w:next w:val="BodyText"/>
    <w:link w:val="Heading4Char"/>
    <w:qFormat/>
    <w:rsid w:val="00390A2F"/>
    <w:pPr>
      <w:spacing w:before="160" w:after="120"/>
      <w:outlineLvl w:val="3"/>
    </w:pPr>
    <w:rPr>
      <w:sz w:val="22"/>
    </w:rPr>
  </w:style>
  <w:style w:type="paragraph" w:styleId="Heading5">
    <w:name w:val="heading 5"/>
    <w:basedOn w:val="HeadingBase"/>
    <w:next w:val="Normal"/>
    <w:link w:val="Heading5Char"/>
    <w:qFormat/>
    <w:rsid w:val="00390A2F"/>
    <w:pPr>
      <w:spacing w:before="80"/>
      <w:outlineLvl w:val="4"/>
    </w:pPr>
    <w:rPr>
      <w:color w:val="918585"/>
      <w:sz w:val="20"/>
    </w:rPr>
  </w:style>
  <w:style w:type="paragraph" w:styleId="Heading6">
    <w:name w:val="heading 6"/>
    <w:basedOn w:val="HeadingBase"/>
    <w:next w:val="Normal"/>
    <w:link w:val="Heading6Char"/>
    <w:qFormat/>
    <w:rsid w:val="00390A2F"/>
    <w:pPr>
      <w:spacing w:before="60"/>
      <w:outlineLvl w:val="5"/>
    </w:pPr>
    <w:rPr>
      <w:color w:val="918585"/>
      <w:sz w:val="20"/>
    </w:rPr>
  </w:style>
  <w:style w:type="paragraph" w:styleId="Heading7">
    <w:name w:val="heading 7"/>
    <w:basedOn w:val="Normal"/>
    <w:next w:val="Normal"/>
    <w:link w:val="Heading7Char"/>
    <w:qFormat/>
    <w:rsid w:val="00390A2F"/>
    <w:pPr>
      <w:ind w:left="720"/>
      <w:outlineLvl w:val="6"/>
    </w:pPr>
    <w:rPr>
      <w:i/>
    </w:rPr>
  </w:style>
  <w:style w:type="paragraph" w:styleId="Heading8">
    <w:name w:val="heading 8"/>
    <w:basedOn w:val="Normal"/>
    <w:next w:val="Normal"/>
    <w:link w:val="Heading8Char"/>
    <w:qFormat/>
    <w:rsid w:val="00390A2F"/>
    <w:pPr>
      <w:ind w:left="720"/>
      <w:outlineLvl w:val="7"/>
    </w:pPr>
    <w:rPr>
      <w:i/>
    </w:rPr>
  </w:style>
  <w:style w:type="paragraph" w:styleId="Heading9">
    <w:name w:val="heading 9"/>
    <w:basedOn w:val="Normal"/>
    <w:next w:val="Normal"/>
    <w:link w:val="Heading9Char"/>
    <w:qFormat/>
    <w:rsid w:val="00390A2F"/>
    <w:pPr>
      <w:ind w:left="720"/>
      <w:outlineLvl w:val="8"/>
    </w:pPr>
    <w:rPr>
      <w:i/>
    </w:rPr>
  </w:style>
  <w:style w:type="character" w:default="1" w:styleId="DefaultParagraphFont">
    <w:name w:val="Default Paragraph Font"/>
    <w:uiPriority w:val="1"/>
    <w:unhideWhenUsed/>
    <w:rsid w:val="00390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A2F"/>
  </w:style>
  <w:style w:type="character" w:customStyle="1" w:styleId="Heading1Char">
    <w:name w:val="Heading 1 Char"/>
    <w:basedOn w:val="DefaultParagraphFont"/>
    <w:link w:val="Heading1"/>
    <w:rsid w:val="00390A2F"/>
    <w:rPr>
      <w:rFonts w:ascii="Times New Roman" w:eastAsia="Times New Roman" w:hAnsi="Times New Roman" w:cs="Times New Roman"/>
      <w:b/>
      <w:sz w:val="32"/>
      <w:szCs w:val="20"/>
      <w:lang w:eastAsia="en-US"/>
    </w:rPr>
  </w:style>
  <w:style w:type="paragraph" w:styleId="BodyText">
    <w:name w:val="Body Text"/>
    <w:basedOn w:val="Normal"/>
    <w:link w:val="BodyTextChar"/>
    <w:rsid w:val="00390A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A2F"/>
    <w:rPr>
      <w:rFonts w:ascii="Times New Roman" w:eastAsia="Times New Roman" w:hAnsi="Times New Roman" w:cs="Times New Roman"/>
      <w:sz w:val="24"/>
      <w:lang w:eastAsia="en-US"/>
    </w:rPr>
  </w:style>
  <w:style w:type="paragraph" w:styleId="ListBullet">
    <w:name w:val="List Bullet"/>
    <w:basedOn w:val="List"/>
    <w:rsid w:val="00390A2F"/>
    <w:pPr>
      <w:numPr>
        <w:numId w:val="11"/>
      </w:numPr>
      <w:tabs>
        <w:tab w:val="clear" w:pos="340"/>
      </w:tabs>
      <w:spacing w:before="40" w:after="40"/>
    </w:pPr>
  </w:style>
  <w:style w:type="character" w:customStyle="1" w:styleId="SpecialBold">
    <w:name w:val="Special Bold"/>
    <w:basedOn w:val="DefaultParagraphFont"/>
    <w:rsid w:val="00390A2F"/>
    <w:rPr>
      <w:b/>
      <w:spacing w:val="0"/>
    </w:rPr>
  </w:style>
  <w:style w:type="paragraph" w:customStyle="1" w:styleId="SuperHeading">
    <w:name w:val="SuperHeading"/>
    <w:basedOn w:val="Normal"/>
    <w:rsid w:val="00390A2F"/>
    <w:pPr>
      <w:spacing w:before="240" w:after="120"/>
      <w:outlineLvl w:val="0"/>
    </w:pPr>
    <w:rPr>
      <w:rFonts w:ascii="Times New Roman" w:hAnsi="Times New Roman"/>
      <w:b/>
      <w:sz w:val="32"/>
    </w:rPr>
  </w:style>
  <w:style w:type="paragraph" w:customStyle="1" w:styleId="AllowPageBreak">
    <w:name w:val="AllowPageBreak"/>
    <w:rsid w:val="00390A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0A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A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A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A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A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A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A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A2F"/>
    <w:rPr>
      <w:rFonts w:ascii="Courier New" w:eastAsia="Times New Roman" w:hAnsi="Courier New" w:cs="Times New Roman"/>
      <w:i/>
      <w:szCs w:val="20"/>
      <w:lang w:eastAsia="en-US"/>
    </w:rPr>
  </w:style>
  <w:style w:type="paragraph" w:customStyle="1" w:styleId="HeadingBase">
    <w:name w:val="Heading Base"/>
    <w:rsid w:val="00390A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A2F"/>
    <w:pPr>
      <w:tabs>
        <w:tab w:val="right" w:leader="dot" w:pos="9072"/>
      </w:tabs>
      <w:ind w:left="567"/>
    </w:pPr>
    <w:rPr>
      <w:szCs w:val="22"/>
    </w:rPr>
  </w:style>
  <w:style w:type="paragraph" w:customStyle="1" w:styleId="TOCBase">
    <w:name w:val="TOC Base"/>
    <w:rsid w:val="00390A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A2F"/>
    <w:pPr>
      <w:tabs>
        <w:tab w:val="right" w:leader="dot" w:pos="9072"/>
      </w:tabs>
      <w:spacing w:before="40" w:after="40"/>
      <w:ind w:left="284"/>
    </w:pPr>
    <w:rPr>
      <w:rFonts w:ascii="Times New Roman" w:hAnsi="Times New Roman"/>
    </w:rPr>
  </w:style>
  <w:style w:type="paragraph" w:styleId="TOC1">
    <w:name w:val="toc 1"/>
    <w:basedOn w:val="TOCBase"/>
    <w:next w:val="Normal"/>
    <w:rsid w:val="00390A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A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A2F"/>
    <w:rPr>
      <w:rFonts w:ascii="Times New Roman" w:eastAsia="Times New Roman" w:hAnsi="Times New Roman" w:cs="Times New Roman"/>
      <w:sz w:val="16"/>
      <w:lang w:eastAsia="en-US"/>
    </w:rPr>
  </w:style>
  <w:style w:type="paragraph" w:styleId="Title">
    <w:name w:val="Title"/>
    <w:basedOn w:val="HeadingBase"/>
    <w:link w:val="TitleChar"/>
    <w:qFormat/>
    <w:rsid w:val="00390A2F"/>
    <w:pPr>
      <w:spacing w:before="5040"/>
      <w:jc w:val="center"/>
    </w:pPr>
    <w:rPr>
      <w:sz w:val="48"/>
      <w:szCs w:val="72"/>
      <w:lang w:val="en-US"/>
    </w:rPr>
  </w:style>
  <w:style w:type="character" w:customStyle="1" w:styleId="TitleChar">
    <w:name w:val="Title Char"/>
    <w:basedOn w:val="DefaultParagraphFont"/>
    <w:link w:val="Title"/>
    <w:rsid w:val="00390A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A2F"/>
    <w:pPr>
      <w:tabs>
        <w:tab w:val="left" w:pos="3600"/>
        <w:tab w:val="left" w:pos="3958"/>
      </w:tabs>
    </w:pPr>
  </w:style>
  <w:style w:type="paragraph" w:styleId="List">
    <w:name w:val="List"/>
    <w:basedOn w:val="BodyText"/>
    <w:next w:val="BodyText"/>
    <w:rsid w:val="00390A2F"/>
    <w:pPr>
      <w:tabs>
        <w:tab w:val="left" w:pos="340"/>
      </w:tabs>
      <w:spacing w:before="60" w:after="60"/>
      <w:ind w:left="340" w:hanging="340"/>
    </w:pPr>
  </w:style>
  <w:style w:type="paragraph" w:customStyle="1" w:styleId="Note">
    <w:name w:val="Note"/>
    <w:basedOn w:val="BodyText"/>
    <w:rsid w:val="00390A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A2F"/>
    <w:pPr>
      <w:framePr w:wrap="auto" w:hAnchor="text" w:y="6049"/>
    </w:pPr>
    <w:rPr>
      <w:color w:val="000000"/>
      <w:sz w:val="40"/>
    </w:rPr>
  </w:style>
  <w:style w:type="paragraph" w:customStyle="1" w:styleId="TOCTitle">
    <w:name w:val="TOCTitle"/>
    <w:basedOn w:val="Heading1"/>
    <w:rsid w:val="00390A2F"/>
    <w:pPr>
      <w:spacing w:after="240"/>
      <w:jc w:val="center"/>
      <w:outlineLvl w:val="9"/>
    </w:pPr>
    <w:rPr>
      <w:caps/>
    </w:rPr>
  </w:style>
  <w:style w:type="paragraph" w:customStyle="1" w:styleId="Version">
    <w:name w:val="Version"/>
    <w:rsid w:val="00390A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0A2F"/>
    <w:pPr>
      <w:numPr>
        <w:numId w:val="12"/>
      </w:numPr>
      <w:tabs>
        <w:tab w:val="clear" w:pos="680"/>
      </w:tabs>
    </w:pPr>
  </w:style>
  <w:style w:type="paragraph" w:styleId="Index1">
    <w:name w:val="index 1"/>
    <w:basedOn w:val="Normal"/>
    <w:next w:val="Normal"/>
    <w:semiHidden/>
    <w:rsid w:val="00390A2F"/>
    <w:pPr>
      <w:keepNext w:val="0"/>
      <w:tabs>
        <w:tab w:val="right" w:pos="4176"/>
      </w:tabs>
      <w:ind w:left="198" w:hanging="198"/>
    </w:pPr>
    <w:rPr>
      <w:rFonts w:ascii="Garamond" w:hAnsi="Garamond"/>
    </w:rPr>
  </w:style>
  <w:style w:type="paragraph" w:styleId="IndexHeading">
    <w:name w:val="index heading"/>
    <w:basedOn w:val="Normal"/>
    <w:next w:val="Index1"/>
    <w:semiHidden/>
    <w:rsid w:val="00390A2F"/>
    <w:pPr>
      <w:spacing w:before="120" w:after="120"/>
    </w:pPr>
    <w:rPr>
      <w:rFonts w:ascii="Arial" w:hAnsi="Arial"/>
      <w:b/>
      <w:color w:val="918585"/>
      <w:sz w:val="24"/>
    </w:rPr>
  </w:style>
  <w:style w:type="paragraph" w:styleId="Header">
    <w:name w:val="header"/>
    <w:basedOn w:val="Normal"/>
    <w:link w:val="HeaderChar"/>
    <w:rsid w:val="00390A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A2F"/>
    <w:rPr>
      <w:rFonts w:ascii="Times New Roman" w:eastAsia="Times New Roman" w:hAnsi="Times New Roman" w:cs="Times New Roman"/>
      <w:sz w:val="16"/>
      <w:szCs w:val="20"/>
      <w:lang w:val="en-GB" w:eastAsia="en-US"/>
    </w:rPr>
  </w:style>
  <w:style w:type="paragraph" w:customStyle="1" w:styleId="Chapter">
    <w:name w:val="Chapter"/>
    <w:basedOn w:val="Normal"/>
    <w:rsid w:val="00390A2F"/>
    <w:pPr>
      <w:spacing w:before="240"/>
    </w:pPr>
    <w:rPr>
      <w:rFonts w:ascii="Times New Roman" w:hAnsi="Times New Roman"/>
      <w:smallCaps/>
      <w:spacing w:val="80"/>
      <w:sz w:val="28"/>
    </w:rPr>
  </w:style>
  <w:style w:type="paragraph" w:customStyle="1" w:styleId="InChapter">
    <w:name w:val="InChapter"/>
    <w:basedOn w:val="Heading3"/>
    <w:rsid w:val="00390A2F"/>
    <w:pPr>
      <w:spacing w:after="240"/>
      <w:outlineLvl w:val="9"/>
    </w:pPr>
    <w:rPr>
      <w:noProof/>
    </w:rPr>
  </w:style>
  <w:style w:type="paragraph" w:styleId="Index2">
    <w:name w:val="index 2"/>
    <w:basedOn w:val="Normal"/>
    <w:next w:val="Normal"/>
    <w:semiHidden/>
    <w:rsid w:val="00390A2F"/>
    <w:pPr>
      <w:tabs>
        <w:tab w:val="right" w:pos="4176"/>
      </w:tabs>
      <w:ind w:left="568" w:hanging="284"/>
    </w:pPr>
    <w:rPr>
      <w:rFonts w:ascii="Garamond" w:hAnsi="Garamond"/>
    </w:rPr>
  </w:style>
  <w:style w:type="paragraph" w:customStyle="1" w:styleId="Byline">
    <w:name w:val="Byline"/>
    <w:rsid w:val="00390A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A2F"/>
    <w:pPr>
      <w:tabs>
        <w:tab w:val="clear" w:pos="3600"/>
        <w:tab w:val="clear" w:pos="3958"/>
      </w:tabs>
      <w:jc w:val="right"/>
    </w:pPr>
  </w:style>
  <w:style w:type="character" w:styleId="Emphasis">
    <w:name w:val="Emphasis"/>
    <w:basedOn w:val="DefaultParagraphFont"/>
    <w:qFormat/>
    <w:rsid w:val="00390A2F"/>
    <w:rPr>
      <w:i/>
    </w:rPr>
  </w:style>
  <w:style w:type="paragraph" w:styleId="Caption">
    <w:name w:val="caption"/>
    <w:basedOn w:val="BodyText"/>
    <w:next w:val="Normal"/>
    <w:qFormat/>
    <w:rsid w:val="00390A2F"/>
    <w:pPr>
      <w:framePr w:w="2268" w:hSpace="181" w:vSpace="181" w:wrap="around" w:vAnchor="text" w:hAnchor="page" w:x="1135" w:y="285" w:anchorLock="1"/>
    </w:pPr>
    <w:rPr>
      <w:i/>
    </w:rPr>
  </w:style>
  <w:style w:type="paragraph" w:customStyle="1" w:styleId="MiniTOCTitle">
    <w:name w:val="MiniTOCTitle"/>
    <w:basedOn w:val="Heading4"/>
    <w:rsid w:val="00390A2F"/>
    <w:pPr>
      <w:spacing w:before="240"/>
      <w:outlineLvl w:val="9"/>
    </w:pPr>
    <w:rPr>
      <w:noProof/>
      <w:sz w:val="24"/>
    </w:rPr>
  </w:style>
  <w:style w:type="paragraph" w:customStyle="1" w:styleId="MiniTOCItem">
    <w:name w:val="MiniTOCItem"/>
    <w:basedOn w:val="ListBullet"/>
    <w:rsid w:val="00390A2F"/>
    <w:pPr>
      <w:numPr>
        <w:numId w:val="0"/>
      </w:numPr>
      <w:tabs>
        <w:tab w:val="right" w:leader="dot" w:pos="6521"/>
      </w:tabs>
      <w:spacing w:before="0" w:after="0"/>
    </w:pPr>
  </w:style>
  <w:style w:type="paragraph" w:customStyle="1" w:styleId="TOFTitle">
    <w:name w:val="TOFTitle"/>
    <w:basedOn w:val="TOCTitle"/>
    <w:rsid w:val="00390A2F"/>
  </w:style>
  <w:style w:type="paragraph" w:styleId="TableofFigures">
    <w:name w:val="table of figures"/>
    <w:basedOn w:val="Normal"/>
    <w:next w:val="Normal"/>
    <w:semiHidden/>
    <w:rsid w:val="00390A2F"/>
    <w:pPr>
      <w:tabs>
        <w:tab w:val="right" w:leader="dot" w:pos="9072"/>
      </w:tabs>
      <w:ind w:left="970" w:hanging="403"/>
    </w:pPr>
    <w:rPr>
      <w:rFonts w:ascii="Times New Roman" w:hAnsi="Times New Roman"/>
      <w:b/>
    </w:rPr>
  </w:style>
  <w:style w:type="paragraph" w:styleId="ListNumber">
    <w:name w:val="List Number"/>
    <w:basedOn w:val="List"/>
    <w:rsid w:val="00390A2F"/>
    <w:pPr>
      <w:numPr>
        <w:numId w:val="14"/>
      </w:numPr>
      <w:tabs>
        <w:tab w:val="clear" w:pos="340"/>
      </w:tabs>
    </w:pPr>
  </w:style>
  <w:style w:type="character" w:customStyle="1" w:styleId="WingdingSymbols">
    <w:name w:val="Wingding Symbols"/>
    <w:rsid w:val="00390A2F"/>
    <w:rPr>
      <w:rFonts w:ascii="Wingdings" w:hAnsi="Wingdings"/>
    </w:rPr>
  </w:style>
  <w:style w:type="paragraph" w:customStyle="1" w:styleId="TableHeading">
    <w:name w:val="Table Heading"/>
    <w:basedOn w:val="HeadingBase"/>
    <w:rsid w:val="00390A2F"/>
    <w:pPr>
      <w:keepLines/>
      <w:pBdr>
        <w:bottom w:val="single" w:sz="6" w:space="1" w:color="918585"/>
      </w:pBdr>
      <w:spacing w:before="240"/>
    </w:pPr>
  </w:style>
  <w:style w:type="character" w:customStyle="1" w:styleId="HotSpot">
    <w:name w:val="HotSpot"/>
    <w:rsid w:val="00390A2F"/>
    <w:rPr>
      <w:color w:val="0033CC"/>
      <w:u w:val="none"/>
    </w:rPr>
  </w:style>
  <w:style w:type="paragraph" w:customStyle="1" w:styleId="BodyTextRight">
    <w:name w:val="Body Text Right"/>
    <w:basedOn w:val="BodyText"/>
    <w:rsid w:val="00390A2F"/>
    <w:pPr>
      <w:spacing w:before="0" w:after="0"/>
      <w:jc w:val="right"/>
    </w:pPr>
  </w:style>
  <w:style w:type="paragraph" w:styleId="Index3">
    <w:name w:val="index 3"/>
    <w:basedOn w:val="ListNumber2"/>
    <w:next w:val="Normal"/>
    <w:semiHidden/>
    <w:rsid w:val="00390A2F"/>
    <w:pPr>
      <w:numPr>
        <w:numId w:val="0"/>
      </w:numPr>
      <w:tabs>
        <w:tab w:val="right" w:leader="dot" w:pos="4176"/>
      </w:tabs>
    </w:pPr>
  </w:style>
  <w:style w:type="paragraph" w:styleId="ListNumber2">
    <w:name w:val="List Number 2"/>
    <w:basedOn w:val="List2"/>
    <w:rsid w:val="00390A2F"/>
    <w:pPr>
      <w:numPr>
        <w:numId w:val="9"/>
      </w:numPr>
      <w:tabs>
        <w:tab w:val="clear" w:pos="1060"/>
      </w:tabs>
    </w:pPr>
  </w:style>
  <w:style w:type="paragraph" w:customStyle="1" w:styleId="MarginNote">
    <w:name w:val="Margin Note"/>
    <w:basedOn w:val="BodyText"/>
    <w:rsid w:val="00390A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A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A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A2F"/>
    <w:rPr>
      <w:sz w:val="32"/>
    </w:rPr>
  </w:style>
  <w:style w:type="paragraph" w:customStyle="1" w:styleId="HeadingProcedure">
    <w:name w:val="Heading Procedure"/>
    <w:basedOn w:val="HeadingBase"/>
    <w:next w:val="Normal"/>
    <w:rsid w:val="00390A2F"/>
    <w:pPr>
      <w:tabs>
        <w:tab w:val="left" w:pos="0"/>
      </w:tabs>
      <w:spacing w:before="120" w:after="60"/>
    </w:pPr>
    <w:rPr>
      <w:i/>
      <w:color w:val="918585"/>
      <w:sz w:val="22"/>
    </w:rPr>
  </w:style>
  <w:style w:type="paragraph" w:customStyle="1" w:styleId="TableBodyText">
    <w:name w:val="Table Body Text"/>
    <w:basedOn w:val="BodyText"/>
    <w:rsid w:val="00390A2F"/>
    <w:pPr>
      <w:spacing w:before="60" w:after="60"/>
    </w:pPr>
  </w:style>
  <w:style w:type="paragraph" w:styleId="ListContinue">
    <w:name w:val="List Continue"/>
    <w:basedOn w:val="List"/>
    <w:rsid w:val="00390A2F"/>
    <w:pPr>
      <w:ind w:firstLine="0"/>
    </w:pPr>
  </w:style>
  <w:style w:type="paragraph" w:customStyle="1" w:styleId="ListNote">
    <w:name w:val="List Note"/>
    <w:basedOn w:val="List"/>
    <w:rsid w:val="00390A2F"/>
    <w:pPr>
      <w:pBdr>
        <w:top w:val="single" w:sz="6" w:space="2" w:color="918585"/>
        <w:bottom w:val="single" w:sz="6" w:space="2" w:color="918585"/>
      </w:pBdr>
      <w:tabs>
        <w:tab w:val="left" w:pos="1021"/>
      </w:tabs>
      <w:ind w:firstLine="0"/>
    </w:pPr>
  </w:style>
  <w:style w:type="paragraph" w:customStyle="1" w:styleId="Warning">
    <w:name w:val="Warning"/>
    <w:basedOn w:val="BodyText"/>
    <w:rsid w:val="00390A2F"/>
    <w:pPr>
      <w:shd w:val="clear" w:color="auto" w:fill="D9D9D9"/>
      <w:tabs>
        <w:tab w:val="left" w:pos="992"/>
      </w:tabs>
      <w:ind w:left="119" w:right="119"/>
    </w:pPr>
    <w:rPr>
      <w:sz w:val="20"/>
    </w:rPr>
  </w:style>
  <w:style w:type="paragraph" w:customStyle="1" w:styleId="MarginIcons">
    <w:name w:val="Margin Icons"/>
    <w:basedOn w:val="BodyText"/>
    <w:rsid w:val="00390A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A2F"/>
    <w:rPr>
      <w:rFonts w:ascii="Courier New" w:hAnsi="Courier New"/>
    </w:rPr>
  </w:style>
  <w:style w:type="paragraph" w:customStyle="1" w:styleId="NoteBullet">
    <w:name w:val="Note Bullet"/>
    <w:basedOn w:val="Note"/>
    <w:rsid w:val="00390A2F"/>
    <w:pPr>
      <w:tabs>
        <w:tab w:val="clear" w:pos="680"/>
      </w:tabs>
      <w:spacing w:before="60" w:after="60"/>
    </w:pPr>
  </w:style>
  <w:style w:type="paragraph" w:customStyle="1" w:styleId="SubHeading2">
    <w:name w:val="SubHeading2"/>
    <w:basedOn w:val="HeadingBase"/>
    <w:rsid w:val="00390A2F"/>
    <w:pPr>
      <w:spacing w:before="240" w:after="60"/>
    </w:pPr>
    <w:rPr>
      <w:sz w:val="20"/>
    </w:rPr>
  </w:style>
  <w:style w:type="paragraph" w:customStyle="1" w:styleId="SubHeading1">
    <w:name w:val="SubHeading1"/>
    <w:basedOn w:val="HeadingBase"/>
    <w:rsid w:val="00390A2F"/>
    <w:pPr>
      <w:spacing w:before="240" w:after="60"/>
    </w:pPr>
    <w:rPr>
      <w:color w:val="918585"/>
      <w:sz w:val="22"/>
    </w:rPr>
  </w:style>
  <w:style w:type="paragraph" w:customStyle="1" w:styleId="SideHeading">
    <w:name w:val="Side Heading"/>
    <w:basedOn w:val="HeadingBase"/>
    <w:rsid w:val="00390A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A2F"/>
    <w:pPr>
      <w:numPr>
        <w:numId w:val="10"/>
      </w:numPr>
    </w:pPr>
  </w:style>
  <w:style w:type="paragraph" w:styleId="PlainText">
    <w:name w:val="Plain Text"/>
    <w:basedOn w:val="Normal"/>
    <w:link w:val="PlainTextChar"/>
    <w:rsid w:val="00390A2F"/>
    <w:rPr>
      <w:sz w:val="20"/>
    </w:rPr>
  </w:style>
  <w:style w:type="character" w:customStyle="1" w:styleId="PlainTextChar">
    <w:name w:val="Plain Text Char"/>
    <w:basedOn w:val="DefaultParagraphFont"/>
    <w:link w:val="PlainText"/>
    <w:rsid w:val="00390A2F"/>
    <w:rPr>
      <w:rFonts w:ascii="Courier New" w:eastAsia="Times New Roman" w:hAnsi="Courier New" w:cs="Times New Roman"/>
      <w:sz w:val="20"/>
      <w:szCs w:val="20"/>
      <w:lang w:eastAsia="en-US"/>
    </w:rPr>
  </w:style>
  <w:style w:type="character" w:customStyle="1" w:styleId="MenuOption">
    <w:name w:val="Menu Option"/>
    <w:basedOn w:val="DefaultParagraphFont"/>
    <w:rsid w:val="00390A2F"/>
    <w:rPr>
      <w:b/>
      <w:smallCaps/>
    </w:rPr>
  </w:style>
  <w:style w:type="paragraph" w:customStyle="1" w:styleId="TableListNumber">
    <w:name w:val="Table List Number"/>
    <w:basedOn w:val="ListNumber"/>
    <w:rsid w:val="00390A2F"/>
    <w:pPr>
      <w:numPr>
        <w:numId w:val="0"/>
      </w:numPr>
    </w:pPr>
  </w:style>
  <w:style w:type="paragraph" w:styleId="TOC4">
    <w:name w:val="toc 4"/>
    <w:basedOn w:val="TOCBase"/>
    <w:next w:val="Normal"/>
    <w:semiHidden/>
    <w:rsid w:val="00390A2F"/>
    <w:pPr>
      <w:tabs>
        <w:tab w:val="right" w:leader="dot" w:pos="9071"/>
      </w:tabs>
      <w:ind w:left="1701"/>
    </w:pPr>
  </w:style>
  <w:style w:type="paragraph" w:customStyle="1" w:styleId="ListAlpha">
    <w:name w:val="List Alpha"/>
    <w:basedOn w:val="List"/>
    <w:rsid w:val="00390A2F"/>
    <w:pPr>
      <w:numPr>
        <w:numId w:val="8"/>
      </w:numPr>
    </w:pPr>
  </w:style>
  <w:style w:type="paragraph" w:customStyle="1" w:styleId="ListAlpha2">
    <w:name w:val="List Alpha 2"/>
    <w:basedOn w:val="List2"/>
    <w:rsid w:val="00390A2F"/>
    <w:pPr>
      <w:numPr>
        <w:numId w:val="7"/>
      </w:numPr>
    </w:pPr>
  </w:style>
  <w:style w:type="paragraph" w:styleId="List2">
    <w:name w:val="List 2"/>
    <w:basedOn w:val="BodyText"/>
    <w:rsid w:val="00390A2F"/>
    <w:pPr>
      <w:tabs>
        <w:tab w:val="left" w:pos="680"/>
      </w:tabs>
      <w:spacing w:before="60" w:after="60"/>
      <w:ind w:left="680" w:hanging="340"/>
    </w:pPr>
  </w:style>
  <w:style w:type="paragraph" w:styleId="List3">
    <w:name w:val="List 3"/>
    <w:basedOn w:val="BodyText"/>
    <w:rsid w:val="00390A2F"/>
    <w:pPr>
      <w:tabs>
        <w:tab w:val="left" w:pos="1021"/>
      </w:tabs>
      <w:spacing w:before="60" w:after="60"/>
      <w:ind w:left="1020" w:hanging="340"/>
    </w:pPr>
  </w:style>
  <w:style w:type="paragraph" w:styleId="List4">
    <w:name w:val="List 4"/>
    <w:basedOn w:val="BodyText"/>
    <w:rsid w:val="00390A2F"/>
    <w:pPr>
      <w:tabs>
        <w:tab w:val="left" w:pos="1361"/>
      </w:tabs>
      <w:spacing w:before="60" w:after="60"/>
      <w:ind w:left="1361" w:hanging="340"/>
    </w:pPr>
  </w:style>
  <w:style w:type="paragraph" w:styleId="List5">
    <w:name w:val="List 5"/>
    <w:basedOn w:val="BodyText"/>
    <w:rsid w:val="00390A2F"/>
    <w:pPr>
      <w:tabs>
        <w:tab w:val="left" w:pos="1701"/>
      </w:tabs>
      <w:spacing w:before="60" w:after="60"/>
      <w:ind w:left="1701" w:hanging="340"/>
    </w:pPr>
  </w:style>
  <w:style w:type="paragraph" w:styleId="ListBullet3">
    <w:name w:val="List Bullet 3"/>
    <w:basedOn w:val="List3"/>
    <w:rsid w:val="00390A2F"/>
    <w:pPr>
      <w:numPr>
        <w:numId w:val="13"/>
      </w:numPr>
      <w:tabs>
        <w:tab w:val="clear" w:pos="1021"/>
      </w:tabs>
      <w:ind w:left="1037" w:hanging="357"/>
    </w:pPr>
  </w:style>
  <w:style w:type="paragraph" w:styleId="ListBullet4">
    <w:name w:val="List Bullet 4"/>
    <w:basedOn w:val="List4"/>
    <w:rsid w:val="00390A2F"/>
    <w:pPr>
      <w:numPr>
        <w:numId w:val="2"/>
      </w:numPr>
      <w:tabs>
        <w:tab w:val="clear" w:pos="1361"/>
      </w:tabs>
    </w:pPr>
  </w:style>
  <w:style w:type="paragraph" w:styleId="ListBullet5">
    <w:name w:val="List Bullet 5"/>
    <w:basedOn w:val="List5"/>
    <w:rsid w:val="00390A2F"/>
    <w:pPr>
      <w:numPr>
        <w:numId w:val="3"/>
      </w:numPr>
    </w:pPr>
  </w:style>
  <w:style w:type="paragraph" w:styleId="ListContinue2">
    <w:name w:val="List Continue 2"/>
    <w:basedOn w:val="List2"/>
    <w:rsid w:val="00390A2F"/>
    <w:pPr>
      <w:ind w:firstLine="0"/>
    </w:pPr>
  </w:style>
  <w:style w:type="paragraph" w:styleId="ListContinue3">
    <w:name w:val="List Continue 3"/>
    <w:basedOn w:val="List3"/>
    <w:rsid w:val="00390A2F"/>
    <w:pPr>
      <w:ind w:left="1021" w:firstLine="0"/>
    </w:pPr>
  </w:style>
  <w:style w:type="paragraph" w:styleId="ListContinue4">
    <w:name w:val="List Continue 4"/>
    <w:basedOn w:val="List4"/>
    <w:rsid w:val="00390A2F"/>
    <w:pPr>
      <w:ind w:firstLine="0"/>
    </w:pPr>
  </w:style>
  <w:style w:type="paragraph" w:styleId="ListContinue5">
    <w:name w:val="List Continue 5"/>
    <w:basedOn w:val="List5"/>
    <w:rsid w:val="00390A2F"/>
    <w:pPr>
      <w:ind w:firstLine="0"/>
    </w:pPr>
  </w:style>
  <w:style w:type="paragraph" w:styleId="ListNumber3">
    <w:name w:val="List Number 3"/>
    <w:basedOn w:val="List3"/>
    <w:rsid w:val="00390A2F"/>
    <w:pPr>
      <w:numPr>
        <w:numId w:val="4"/>
      </w:numPr>
    </w:pPr>
  </w:style>
  <w:style w:type="paragraph" w:styleId="ListNumber4">
    <w:name w:val="List Number 4"/>
    <w:basedOn w:val="List4"/>
    <w:rsid w:val="00390A2F"/>
    <w:pPr>
      <w:numPr>
        <w:numId w:val="5"/>
      </w:numPr>
    </w:pPr>
  </w:style>
  <w:style w:type="paragraph" w:styleId="ListNumber5">
    <w:name w:val="List Number 5"/>
    <w:basedOn w:val="List5"/>
    <w:rsid w:val="00390A2F"/>
    <w:pPr>
      <w:numPr>
        <w:numId w:val="6"/>
      </w:numPr>
    </w:pPr>
  </w:style>
  <w:style w:type="paragraph" w:styleId="BlockText">
    <w:name w:val="Block Text"/>
    <w:basedOn w:val="Normal"/>
    <w:rsid w:val="00390A2F"/>
    <w:pPr>
      <w:spacing w:after="120"/>
      <w:ind w:left="1440" w:right="1440"/>
    </w:pPr>
  </w:style>
  <w:style w:type="character" w:customStyle="1" w:styleId="Subscript">
    <w:name w:val="Subscript"/>
    <w:basedOn w:val="DefaultParagraphFont"/>
    <w:rsid w:val="00390A2F"/>
    <w:rPr>
      <w:sz w:val="16"/>
      <w:vertAlign w:val="subscript"/>
    </w:rPr>
  </w:style>
  <w:style w:type="character" w:customStyle="1" w:styleId="Superscript">
    <w:name w:val="Superscript"/>
    <w:basedOn w:val="DefaultParagraphFont"/>
    <w:rsid w:val="00390A2F"/>
    <w:rPr>
      <w:sz w:val="16"/>
      <w:vertAlign w:val="superscript"/>
    </w:rPr>
  </w:style>
  <w:style w:type="character" w:customStyle="1" w:styleId="Symbols">
    <w:name w:val="Symbols"/>
    <w:basedOn w:val="DefaultParagraphFont"/>
    <w:rsid w:val="00390A2F"/>
    <w:rPr>
      <w:rFonts w:ascii="Symbol" w:hAnsi="Symbol"/>
    </w:rPr>
  </w:style>
  <w:style w:type="character" w:customStyle="1" w:styleId="MenuOptions">
    <w:name w:val="Menu Options"/>
    <w:basedOn w:val="DefaultParagraphFont"/>
    <w:rsid w:val="00390A2F"/>
    <w:rPr>
      <w:rFonts w:ascii="Arial Narrow" w:hAnsi="Arial Narrow"/>
      <w:smallCaps/>
    </w:rPr>
  </w:style>
  <w:style w:type="character" w:customStyle="1" w:styleId="Buttons">
    <w:name w:val="Buttons"/>
    <w:basedOn w:val="DefaultParagraphFont"/>
    <w:rsid w:val="00390A2F"/>
    <w:rPr>
      <w:b/>
    </w:rPr>
  </w:style>
  <w:style w:type="character" w:customStyle="1" w:styleId="Underlined">
    <w:name w:val="Underlined"/>
    <w:basedOn w:val="DefaultParagraphFont"/>
    <w:rsid w:val="00390A2F"/>
    <w:rPr>
      <w:u w:val="single"/>
    </w:rPr>
  </w:style>
  <w:style w:type="paragraph" w:customStyle="1" w:styleId="TableBodyTextRight">
    <w:name w:val="Table Body Text Right"/>
    <w:basedOn w:val="TableBodyText"/>
    <w:rsid w:val="00390A2F"/>
    <w:pPr>
      <w:widowControl w:val="0"/>
      <w:autoSpaceDE w:val="0"/>
      <w:autoSpaceDN w:val="0"/>
      <w:adjustRightInd w:val="0"/>
      <w:jc w:val="right"/>
    </w:pPr>
    <w:rPr>
      <w:rFonts w:cs="Arial"/>
      <w:szCs w:val="18"/>
    </w:rPr>
  </w:style>
  <w:style w:type="paragraph" w:customStyle="1" w:styleId="CopyrightText">
    <w:name w:val="Copyright Text"/>
    <w:basedOn w:val="BodyText"/>
    <w:rsid w:val="00390A2F"/>
    <w:rPr>
      <w:sz w:val="18"/>
    </w:rPr>
  </w:style>
  <w:style w:type="paragraph" w:customStyle="1" w:styleId="BodySmallRight">
    <w:name w:val="Body Small Right"/>
    <w:basedOn w:val="BodyTextRight"/>
    <w:rsid w:val="00390A2F"/>
    <w:rPr>
      <w:sz w:val="18"/>
      <w:szCs w:val="18"/>
    </w:rPr>
  </w:style>
  <w:style w:type="paragraph" w:customStyle="1" w:styleId="MarginEdition">
    <w:name w:val="Margin Edition"/>
    <w:basedOn w:val="MarginNote"/>
    <w:rsid w:val="00390A2F"/>
    <w:pPr>
      <w:spacing w:before="0" w:after="0"/>
    </w:pPr>
    <w:rPr>
      <w:rFonts w:ascii="Times New Roman" w:hAnsi="Times New Roman"/>
      <w:color w:val="999999"/>
    </w:rPr>
  </w:style>
  <w:style w:type="paragraph" w:customStyle="1" w:styleId="Spacer">
    <w:name w:val="Spacer"/>
    <w:basedOn w:val="Normal"/>
    <w:rsid w:val="00390A2F"/>
    <w:rPr>
      <w:sz w:val="2"/>
      <w:szCs w:val="2"/>
    </w:rPr>
  </w:style>
  <w:style w:type="character" w:customStyle="1" w:styleId="Small">
    <w:name w:val="Small"/>
    <w:basedOn w:val="DefaultParagraphFont"/>
    <w:rsid w:val="00390A2F"/>
    <w:rPr>
      <w:sz w:val="16"/>
    </w:rPr>
  </w:style>
  <w:style w:type="paragraph" w:customStyle="1" w:styleId="WideTable">
    <w:name w:val="Wide Table"/>
    <w:basedOn w:val="Normal"/>
    <w:rsid w:val="00390A2F"/>
    <w:pPr>
      <w:ind w:left="-1418"/>
    </w:pPr>
    <w:rPr>
      <w:sz w:val="2"/>
      <w:szCs w:val="2"/>
    </w:rPr>
  </w:style>
  <w:style w:type="character" w:styleId="PageNumber">
    <w:name w:val="page number"/>
    <w:basedOn w:val="DefaultParagraphFont"/>
    <w:rsid w:val="00390A2F"/>
  </w:style>
  <w:style w:type="paragraph" w:styleId="Quote">
    <w:name w:val="Quote"/>
    <w:basedOn w:val="Heading1"/>
    <w:link w:val="QuoteChar"/>
    <w:qFormat/>
    <w:rsid w:val="00390A2F"/>
    <w:rPr>
      <w:b w:val="0"/>
      <w:sz w:val="72"/>
      <w:szCs w:val="72"/>
      <w:lang w:val="en-NZ"/>
    </w:rPr>
  </w:style>
  <w:style w:type="character" w:customStyle="1" w:styleId="QuoteChar">
    <w:name w:val="Quote Char"/>
    <w:basedOn w:val="DefaultParagraphFont"/>
    <w:link w:val="Quote"/>
    <w:rsid w:val="00390A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A2F"/>
    <w:pPr>
      <w:pageBreakBefore/>
    </w:pPr>
  </w:style>
  <w:style w:type="paragraph" w:customStyle="1" w:styleId="Border">
    <w:name w:val="Border"/>
    <w:basedOn w:val="Normal"/>
    <w:qFormat/>
    <w:rsid w:val="00390A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A2F"/>
    <w:rPr>
      <w:b/>
      <w:bCs/>
      <w:i/>
      <w:iCs/>
      <w:color w:val="auto"/>
    </w:rPr>
  </w:style>
  <w:style w:type="paragraph" w:styleId="IntenseQuote">
    <w:name w:val="Intense Quote"/>
    <w:basedOn w:val="Normal"/>
    <w:next w:val="Normal"/>
    <w:link w:val="IntenseQuoteChar"/>
    <w:uiPriority w:val="30"/>
    <w:qFormat/>
    <w:rsid w:val="00390A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A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A2F"/>
    <w:rPr>
      <w:smallCaps/>
      <w:color w:val="auto"/>
      <w:u w:val="single"/>
    </w:rPr>
  </w:style>
  <w:style w:type="character" w:styleId="IntenseReference">
    <w:name w:val="Intense Reference"/>
    <w:basedOn w:val="DefaultParagraphFont"/>
    <w:uiPriority w:val="32"/>
    <w:qFormat/>
    <w:rsid w:val="00390A2F"/>
    <w:rPr>
      <w:b/>
      <w:bCs/>
      <w:smallCaps/>
      <w:color w:val="auto"/>
      <w:spacing w:val="5"/>
      <w:u w:val="single"/>
    </w:rPr>
  </w:style>
  <w:style w:type="paragraph" w:customStyle="1" w:styleId="2ColumnHeading">
    <w:name w:val="2Column Heading"/>
    <w:basedOn w:val="BodyText"/>
    <w:qFormat/>
    <w:rsid w:val="00390A2F"/>
    <w:pPr>
      <w:spacing w:after="60"/>
      <w:ind w:left="-2268"/>
    </w:pPr>
    <w:rPr>
      <w:b/>
    </w:rPr>
  </w:style>
  <w:style w:type="paragraph" w:customStyle="1" w:styleId="Heading1TOC">
    <w:name w:val="Heading1 TOC"/>
    <w:basedOn w:val="Normal"/>
    <w:qFormat/>
    <w:rsid w:val="00390A2F"/>
    <w:pPr>
      <w:spacing w:before="240" w:after="120"/>
    </w:pPr>
    <w:rPr>
      <w:rFonts w:ascii="Times New Roman" w:hAnsi="Times New Roman"/>
      <w:b/>
      <w:sz w:val="32"/>
    </w:rPr>
  </w:style>
  <w:style w:type="paragraph" w:customStyle="1" w:styleId="Heading2TOC">
    <w:name w:val="Heading2 TOC"/>
    <w:basedOn w:val="Normal"/>
    <w:qFormat/>
    <w:rsid w:val="00390A2F"/>
    <w:pPr>
      <w:spacing w:before="240" w:after="60"/>
    </w:pPr>
    <w:rPr>
      <w:rFonts w:ascii="Times New Roman" w:hAnsi="Times New Roman"/>
      <w:b/>
      <w:sz w:val="28"/>
    </w:rPr>
  </w:style>
  <w:style w:type="character" w:customStyle="1" w:styleId="Underline">
    <w:name w:val="Underline"/>
    <w:basedOn w:val="DefaultParagraphFont"/>
    <w:qFormat/>
    <w:rsid w:val="00390A2F"/>
    <w:rPr>
      <w:u w:val="single"/>
    </w:rPr>
  </w:style>
  <w:style w:type="character" w:customStyle="1" w:styleId="BoldandItalics">
    <w:name w:val="Bold and Italics"/>
    <w:qFormat/>
    <w:rsid w:val="00390A2F"/>
    <w:rPr>
      <w:b/>
      <w:i/>
      <w:u w:val="none"/>
    </w:rPr>
  </w:style>
  <w:style w:type="paragraph" w:styleId="BalloonText">
    <w:name w:val="Balloon Text"/>
    <w:basedOn w:val="Normal"/>
    <w:link w:val="BalloonTextChar"/>
    <w:rsid w:val="00390A2F"/>
    <w:rPr>
      <w:rFonts w:ascii="Tahoma" w:hAnsi="Tahoma" w:cs="Tahoma"/>
      <w:sz w:val="16"/>
      <w:szCs w:val="16"/>
    </w:rPr>
  </w:style>
  <w:style w:type="character" w:customStyle="1" w:styleId="BalloonTextChar">
    <w:name w:val="Balloon Text Char"/>
    <w:basedOn w:val="DefaultParagraphFont"/>
    <w:link w:val="BalloonText"/>
    <w:rsid w:val="00390A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A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A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A2F"/>
    <w:rPr>
      <w:b/>
      <w:color w:val="660033"/>
      <w:spacing w:val="0"/>
    </w:rPr>
  </w:style>
  <w:style w:type="paragraph" w:customStyle="1" w:styleId="Nameditemlist">
    <w:name w:val="Named item list"/>
    <w:basedOn w:val="BodyText"/>
    <w:qFormat/>
    <w:rsid w:val="00390A2F"/>
    <w:pPr>
      <w:tabs>
        <w:tab w:val="left" w:pos="2835"/>
      </w:tabs>
      <w:ind w:left="2835" w:hanging="2835"/>
    </w:pPr>
  </w:style>
  <w:style w:type="paragraph" w:customStyle="1" w:styleId="BodyTextnopadding">
    <w:name w:val="Body Text no padding"/>
    <w:basedOn w:val="BodyText"/>
    <w:qFormat/>
    <w:rsid w:val="00390A2F"/>
    <w:pPr>
      <w:spacing w:before="0" w:after="0"/>
    </w:pPr>
  </w:style>
  <w:style w:type="paragraph" w:customStyle="1" w:styleId="BodyTextBold">
    <w:name w:val="Body Text Bold"/>
    <w:basedOn w:val="BodyText"/>
    <w:qFormat/>
    <w:rsid w:val="00390A2F"/>
    <w:rPr>
      <w:b/>
    </w:rPr>
  </w:style>
  <w:style w:type="character" w:styleId="Hyperlink">
    <w:name w:val="Hyperlink"/>
    <w:basedOn w:val="DefaultParagraphFont"/>
    <w:uiPriority w:val="99"/>
    <w:unhideWhenUsed/>
    <w:rsid w:val="002442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526</Words>
  <Characters>3223</Characters>
  <Application>Microsoft Office Word</Application>
  <DocSecurity>0</DocSecurity>
  <Lines>134</Lines>
  <Paragraphs>81</Paragraphs>
  <ScaleCrop>false</ScaleCrop>
  <Company>Author-it Software Corporation Ltd.</Company>
  <LinksUpToDate>false</LinksUpToDate>
  <CharactersWithSpaces>3668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DEFEXO101 Dispose of explosives</dc:title>
  <dc:subject>Approved</dc:subject>
  <dc:creator>Public Skills Australia</dc:creator>
  <cp:keywords>Release: 2</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