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447" w:rsidP="00760447">
      <w:pPr>
        <w:pStyle w:val="Title"/>
      </w:pPr>
      <w:r>
        <w:fldChar w:fldCharType="begin"/>
      </w:r>
      <w:r>
        <w:instrText xml:space="preserve"> TITLE   \* MERGEFORMAT </w:instrText>
      </w:r>
      <w:r>
        <w:fldChar w:fldCharType="separate"/>
      </w:r>
      <w:r>
        <w:t>DEFEXO087 Assess the safety and suitability for service of explosives</w:t>
      </w:r>
      <w:r>
        <w:fldChar w:fldCharType="end"/>
      </w:r>
    </w:p>
    <w:p w:rsidR="00760447" w:rsidP="00760447">
      <w:pPr>
        <w:pStyle w:val="Version"/>
        <w:sectPr w:rsidSect="00BD24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24B6" w:rsidP="00BD24B6">
      <w:pPr>
        <w:pStyle w:val="SuperHeading"/>
      </w:pPr>
      <w:r w:rsidRPr="00BD24B6">
        <w:t>DEFEXO087 Assess the safety and suitability for service of explosives</w:t>
      </w:r>
    </w:p>
    <w:p w:rsidR="00000000" w:rsidRPr="00BD24B6" w:rsidP="00BD24B6">
      <w:pPr>
        <w:pStyle w:val="Heading1"/>
      </w:pPr>
      <w:bookmarkStart w:id="1" w:name="O_1097850"/>
      <w:bookmarkEnd w:id="1"/>
      <w:r w:rsidRPr="00BD24B6">
        <w:t>Modification History</w:t>
      </w:r>
    </w:p>
    <w:tbl>
      <w:tblPr>
        <w:tblW w:w="9497" w:type="dxa"/>
        <w:tblLayout w:type="fixed"/>
        <w:tblCellMar>
          <w:left w:w="62" w:type="dxa"/>
          <w:right w:w="62" w:type="dxa"/>
        </w:tblCellMar>
        <w:tblLook w:val="0000"/>
      </w:tblPr>
      <w:tblGrid>
        <w:gridCol w:w="9497"/>
      </w:tblGrid>
      <w:tr w:rsidTr="00BD24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Release 2. Modifications made to Foundation Skills and Assessment Conditions.</w:t>
            </w:r>
          </w:p>
        </w:tc>
      </w:tr>
      <w:tr w:rsidTr="00BD24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t>Release 1. This unit was released in DEF Defence Training Package release 1.0 and meets the Standards for Training Packages.</w:t>
            </w:r>
          </w:p>
          <w:p w:rsidR="00000000" w:rsidRPr="00BD24B6" w:rsidP="00BD24B6">
            <w:pPr>
              <w:pStyle w:val="BodyText"/>
            </w:pPr>
            <w:r w:rsidRPr="00BD24B6">
              <w:t>This unit supersedes and is equivalent to DEFEO004 Assess the safety and suitability for service of explosive ordnance.</w:t>
            </w:r>
          </w:p>
          <w:p w:rsidR="00000000" w:rsidRPr="00BD24B6" w:rsidP="00BD24B6">
            <w:pPr>
              <w:pStyle w:val="ListBullet"/>
            </w:pPr>
            <w:r w:rsidRPr="00BD24B6">
              <w:t xml:space="preserve">Unit code </w:t>
            </w:r>
            <w:r w:rsidRPr="00BD24B6">
              <w:t>updated</w:t>
            </w:r>
          </w:p>
          <w:p w:rsidR="00000000" w:rsidRPr="00BD24B6" w:rsidP="00BD24B6">
            <w:pPr>
              <w:pStyle w:val="ListBullet"/>
            </w:pPr>
            <w:r w:rsidRPr="00BD24B6">
              <w:t>Content and formatting updated to comply with the new standards</w:t>
            </w:r>
          </w:p>
          <w:p w:rsidR="00000000" w:rsidRPr="00BD24B6" w:rsidP="00BD24B6">
            <w:pPr>
              <w:pStyle w:val="ListBullet"/>
            </w:pPr>
            <w:r w:rsidRPr="00BD24B6">
              <w:t>All PC transitioned from passive to active voice</w:t>
            </w:r>
          </w:p>
          <w:p w:rsidR="00000000" w:rsidRPr="00BD24B6" w:rsidP="00BD24B6">
            <w:pPr>
              <w:pStyle w:val="ListBullet"/>
            </w:pPr>
            <w:r w:rsidRPr="00BD24B6">
              <w:t>PC 1.1 and 3.1 reworded</w:t>
            </w:r>
          </w:p>
        </w:tc>
      </w:tr>
    </w:tbl>
    <w:p w:rsidR="00760447" w:rsidP="00BD24B6">
      <w:pPr>
        <w:pStyle w:val="NoPaddingFontSize1"/>
      </w:pPr>
    </w:p>
    <w:p w:rsidR="00760447" w:rsidP="00BD24B6">
      <w:pPr>
        <w:pStyle w:val="NoPaddingFontSize1"/>
      </w:pPr>
    </w:p>
    <w:p w:rsidR="00000000" w:rsidRPr="00BD24B6" w:rsidP="00BD24B6">
      <w:pPr>
        <w:pStyle w:val="Heading1"/>
      </w:pPr>
      <w:bookmarkStart w:id="2" w:name="O_1097849"/>
      <w:bookmarkEnd w:id="2"/>
      <w:r w:rsidRPr="00BD24B6">
        <w:t>Application</w:t>
      </w:r>
    </w:p>
    <w:tbl>
      <w:tblPr>
        <w:tblW w:w="9497" w:type="dxa"/>
        <w:tblLayout w:type="fixed"/>
        <w:tblCellMar>
          <w:left w:w="62" w:type="dxa"/>
          <w:right w:w="62" w:type="dxa"/>
        </w:tblCellMar>
        <w:tblLook w:val="0000"/>
      </w:tblPr>
      <w:tblGrid>
        <w:gridCol w:w="9497"/>
      </w:tblGrid>
      <w:tr w:rsidTr="00BD24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t xml:space="preserve">This unit describes the skills required to assess if the explosives will present an unacceptable hazard to the lives of Defence personnel or the public while being transported, stored or operated in a defined environment. It will also assess if explosives </w:t>
            </w:r>
            <w:r w:rsidRPr="00BD24B6">
              <w:t>will function as designed and are not unacceptably degraded by the service environments encountered during the service life. It includes the requirement to identify the scope of the assessment process and to determine the requirement for any testing or tri</w:t>
            </w:r>
            <w:r w:rsidRPr="00BD24B6">
              <w:t xml:space="preserve">als prior to introduction into service. </w:t>
            </w:r>
          </w:p>
          <w:p w:rsidR="00000000" w:rsidRPr="00BD24B6" w:rsidP="00BD24B6">
            <w:pPr>
              <w:pStyle w:val="BodyText"/>
            </w:pPr>
            <w:r w:rsidRPr="00BD24B6">
              <w:t>The assessment is complex due to:</w:t>
            </w:r>
          </w:p>
          <w:p w:rsidR="00000000" w:rsidRPr="00BD24B6" w:rsidP="00BD24B6">
            <w:pPr>
              <w:pStyle w:val="ListBullet"/>
            </w:pPr>
            <w:r w:rsidRPr="00BD24B6">
              <w:t>scope</w:t>
            </w:r>
          </w:p>
          <w:p w:rsidR="00000000" w:rsidRPr="00BD24B6" w:rsidP="00BD24B6">
            <w:pPr>
              <w:pStyle w:val="ListBullet"/>
            </w:pPr>
            <w:r w:rsidRPr="00BD24B6">
              <w:t>degree of risk</w:t>
            </w:r>
          </w:p>
          <w:p w:rsidR="00000000" w:rsidRPr="00BD24B6" w:rsidP="00BD24B6">
            <w:pPr>
              <w:pStyle w:val="ListBullet"/>
            </w:pPr>
            <w:r w:rsidRPr="00BD24B6">
              <w:t>environmental, political, cultural and social factors that apply</w:t>
            </w:r>
          </w:p>
          <w:p w:rsidR="00000000" w:rsidRPr="00BD24B6" w:rsidP="00BD24B6">
            <w:pPr>
              <w:pStyle w:val="ListBullet"/>
            </w:pPr>
            <w:r w:rsidRPr="00BD24B6">
              <w:t>consequences of failure</w:t>
            </w:r>
          </w:p>
          <w:p w:rsidR="00000000" w:rsidRPr="00BD24B6" w:rsidP="00BD24B6">
            <w:pPr>
              <w:pStyle w:val="ListBullet"/>
            </w:pPr>
            <w:r w:rsidRPr="00BD24B6">
              <w:t>degree of control</w:t>
            </w:r>
          </w:p>
          <w:p w:rsidR="00000000" w:rsidRPr="00BD24B6" w:rsidP="00BD24B6">
            <w:pPr>
              <w:pStyle w:val="BodyText"/>
            </w:pPr>
            <w:r w:rsidRPr="00BD24B6">
              <w:t>This unit applies to those required to conduct an an</w:t>
            </w:r>
            <w:r w:rsidRPr="00BD24B6">
              <w:t>alysis of identified explosives for the purpose of determining their safety and suitability for service.</w:t>
            </w:r>
          </w:p>
          <w:p w:rsidR="00000000" w:rsidRPr="00BD24B6" w:rsidP="00BD24B6">
            <w:pPr>
              <w:pStyle w:val="BodyText"/>
            </w:pPr>
            <w:r w:rsidRPr="00BD24B6">
              <w:t>The skills and knowledge described in this unit must be applied within the legislative, regulatory and policy environment in which they are carried out</w:t>
            </w:r>
            <w:r w:rsidRPr="00BD24B6">
              <w:t>. Organisational policies and procedures must be consulted and adhered to.</w:t>
            </w:r>
          </w:p>
          <w:p w:rsidR="00000000" w:rsidRPr="00BD24B6" w:rsidP="00BD24B6">
            <w:pPr>
              <w:pStyle w:val="BodyText"/>
            </w:pPr>
            <w:r w:rsidRPr="00BD24B6">
              <w:t>Those undertaking this unit would make high level, fully independent judgements, applying a detailed knowledge of explosives, analysing complex data and producing specific documents</w:t>
            </w:r>
            <w:r w:rsidRPr="00BD24B6">
              <w:t xml:space="preserve"> detailing the outcomes of highly specialised technical functions. They would perform sophisticated tasks in highly specialised operational contexts.</w:t>
            </w:r>
          </w:p>
          <w:p w:rsidR="00000000" w:rsidRPr="00BD24B6" w:rsidP="00BD24B6">
            <w:pPr>
              <w:pStyle w:val="BodyText"/>
            </w:pPr>
            <w:r w:rsidRPr="00BD24B6">
              <w:t>No licensing, legislative or certification requirements apply to unit at the time of publication.</w:t>
            </w:r>
          </w:p>
        </w:tc>
      </w:tr>
    </w:tbl>
    <w:p w:rsidR="00760447" w:rsidP="00BD24B6">
      <w:pPr>
        <w:pStyle w:val="NoPaddingFontSize1"/>
      </w:pPr>
    </w:p>
    <w:p w:rsidR="00760447" w:rsidP="00BD24B6">
      <w:pPr>
        <w:pStyle w:val="NoPaddingFontSize1"/>
      </w:pPr>
    </w:p>
    <w:p w:rsidR="00000000" w:rsidRPr="00BD24B6" w:rsidP="00BD24B6">
      <w:pPr>
        <w:pStyle w:val="Heading1"/>
      </w:pPr>
      <w:bookmarkStart w:id="3" w:name="O_1104709"/>
      <w:bookmarkEnd w:id="3"/>
      <w:r w:rsidRPr="00BD24B6">
        <w:t>Pre-requisite Unit</w:t>
      </w:r>
    </w:p>
    <w:tbl>
      <w:tblPr>
        <w:tblW w:w="9497" w:type="dxa"/>
        <w:tblLayout w:type="fixed"/>
        <w:tblCellMar>
          <w:left w:w="62" w:type="dxa"/>
          <w:right w:w="62" w:type="dxa"/>
        </w:tblCellMar>
        <w:tblLook w:val="0000"/>
      </w:tblPr>
      <w:tblGrid>
        <w:gridCol w:w="9497"/>
      </w:tblGrid>
      <w:tr w:rsidTr="00BD24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t>Not applicable.</w:t>
            </w:r>
          </w:p>
        </w:tc>
      </w:tr>
    </w:tbl>
    <w:p w:rsidR="00760447" w:rsidP="00BD24B6">
      <w:pPr>
        <w:pStyle w:val="NoPaddingFontSize1"/>
      </w:pPr>
    </w:p>
    <w:p w:rsidR="00760447" w:rsidP="00BD24B6">
      <w:pPr>
        <w:pStyle w:val="NoPaddingFontSize1"/>
      </w:pPr>
    </w:p>
    <w:p w:rsidR="00000000" w:rsidRPr="00BD24B6" w:rsidP="00BD24B6">
      <w:pPr>
        <w:pStyle w:val="Heading1"/>
      </w:pPr>
      <w:bookmarkStart w:id="4" w:name="O_1104710"/>
      <w:bookmarkEnd w:id="4"/>
      <w:r w:rsidRPr="00BD24B6">
        <w:t>Competency Field</w:t>
      </w:r>
    </w:p>
    <w:tbl>
      <w:tblPr>
        <w:tblW w:w="9497" w:type="dxa"/>
        <w:tblLayout w:type="fixed"/>
        <w:tblCellMar>
          <w:left w:w="62" w:type="dxa"/>
          <w:right w:w="62" w:type="dxa"/>
        </w:tblCellMar>
        <w:tblLook w:val="0000"/>
      </w:tblPr>
      <w:tblGrid>
        <w:gridCol w:w="9497"/>
      </w:tblGrid>
      <w:tr w:rsidTr="00BD24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t>Explosive Ordnance</w:t>
            </w:r>
          </w:p>
        </w:tc>
      </w:tr>
    </w:tbl>
    <w:p w:rsidR="00760447" w:rsidP="00BD24B6">
      <w:pPr>
        <w:pStyle w:val="NoPaddingFontSize1"/>
      </w:pPr>
    </w:p>
    <w:p w:rsidR="00760447" w:rsidP="00BD24B6">
      <w:pPr>
        <w:pStyle w:val="NoPaddingFontSize1"/>
      </w:pPr>
    </w:p>
    <w:p w:rsidR="00000000" w:rsidRPr="00BD24B6" w:rsidP="00BD24B6">
      <w:pPr>
        <w:pStyle w:val="Heading1"/>
      </w:pPr>
      <w:bookmarkStart w:id="5" w:name="O_1104711"/>
      <w:bookmarkEnd w:id="5"/>
      <w:r w:rsidRPr="00BD24B6">
        <w:t>Unit Sector</w:t>
      </w:r>
    </w:p>
    <w:tbl>
      <w:tblPr>
        <w:tblW w:w="9497" w:type="dxa"/>
        <w:tblLayout w:type="fixed"/>
        <w:tblCellMar>
          <w:left w:w="62" w:type="dxa"/>
          <w:right w:w="62" w:type="dxa"/>
        </w:tblCellMar>
        <w:tblLook w:val="0000"/>
      </w:tblPr>
      <w:tblGrid>
        <w:gridCol w:w="9497"/>
      </w:tblGrid>
      <w:tr w:rsidTr="00BD24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t>Not applicable.</w:t>
            </w:r>
          </w:p>
        </w:tc>
      </w:tr>
    </w:tbl>
    <w:p w:rsidR="00760447" w:rsidP="00BD24B6">
      <w:pPr>
        <w:pStyle w:val="NoPaddingFontSize1"/>
      </w:pPr>
    </w:p>
    <w:p w:rsidR="00760447" w:rsidP="00BD24B6">
      <w:pPr>
        <w:pStyle w:val="NoPaddingFontSize1"/>
      </w:pPr>
    </w:p>
    <w:p w:rsidR="00000000" w:rsidRPr="00BD24B6" w:rsidP="00BD24B6">
      <w:pPr>
        <w:pStyle w:val="Heading1"/>
      </w:pPr>
      <w:bookmarkStart w:id="6" w:name="O_1097848"/>
      <w:bookmarkEnd w:id="6"/>
      <w:r w:rsidRPr="00BD24B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D24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PERFORMANCE CRITERIA</w:t>
            </w:r>
          </w:p>
        </w:tc>
      </w:tr>
      <w:tr w:rsidTr="00BD24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Performance criteria describe the performance needed to demonstrate achievement of the element.</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Prepare for a safety and suitability for service assessment of explosives</w:t>
            </w: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Receive and confirm assessment requ</w:t>
            </w:r>
            <w:r w:rsidRPr="00BD24B6">
              <w:t>irements and the agreed customer requirements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Identify the design precedents and safety principles of the explosives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Identify and confirm life cycle events for the explosives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Identify and define the predicted service environment for the explosives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Conduct explosive hazard assessment</w:t>
            </w: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Identify hazards associated with the explosives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Evaluate hazards and determine the risk index for the explosives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Identify system hazards for the explosives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Identify and record actions to eliminate or control the hazards for stakeholder consideration</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Conduct explosive design assessment</w:t>
            </w: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Identify explosive chemistry</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Identify and assess explosive train components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Identify and assess the environmental conditions for the explosives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Evaluate the usage and disposal requirements of the explosives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Determine the requirement of explosive trials or tests</w:t>
            </w: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Determine the requirement for conduct of trials and/or evaluation of explosives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BD24B6">
            <w:pPr>
              <w:pStyle w:val="NoPaddingFontSize1"/>
              <w:rPr>
                <w:rFonts w:eastAsia="Times New Roman"/>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Provide written instructions for trials and/or evaluation to the appropriate testing authority</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Conduct analysis of trials and/or evaluation outcomes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Incorporate trial and/or evaluation outcomes in relevant reports and other documentation</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rPr>
                <w:rStyle w:val="SpecialBold"/>
              </w:rPr>
              <w:t>Report and provide guidance on explosive safety and suitability for service</w:t>
            </w: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t>Record and report outcomes to all relevant stakeholders</w:t>
            </w:r>
          </w:p>
        </w:tc>
      </w:tr>
      <w:tr w:rsidTr="00BD24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D24B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24B6">
            <w:pPr>
              <w:pStyle w:val="BodyText"/>
              <w:rPr>
                <w:lang w:val="en-NZ"/>
              </w:rPr>
            </w:pPr>
            <w:r w:rsidRPr="00BD24B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t>Finalise relevant saf</w:t>
            </w:r>
            <w:r w:rsidRPr="00BD24B6">
              <w:t>ety and suitability for service certification and documentation</w:t>
            </w:r>
          </w:p>
        </w:tc>
      </w:tr>
    </w:tbl>
    <w:p w:rsidR="00760447" w:rsidP="00BD24B6">
      <w:pPr>
        <w:pStyle w:val="BodyText"/>
      </w:pPr>
    </w:p>
    <w:p w:rsidR="00760447" w:rsidP="00BD24B6">
      <w:pPr>
        <w:pStyle w:val="BodyText"/>
      </w:pPr>
    </w:p>
    <w:p w:rsidR="00000000" w:rsidRPr="00BD24B6" w:rsidP="00BD24B6">
      <w:pPr>
        <w:pStyle w:val="Heading1"/>
      </w:pPr>
      <w:bookmarkStart w:id="7" w:name="O_1097847"/>
      <w:bookmarkEnd w:id="7"/>
      <w:r w:rsidRPr="00BD24B6">
        <w:t>Foundation Skills</w:t>
      </w:r>
    </w:p>
    <w:tbl>
      <w:tblPr>
        <w:tblW w:w="9497" w:type="dxa"/>
        <w:tblLayout w:type="fixed"/>
        <w:tblCellMar>
          <w:left w:w="62" w:type="dxa"/>
          <w:right w:w="62" w:type="dxa"/>
        </w:tblCellMar>
        <w:tblLook w:val="0000"/>
      </w:tblPr>
      <w:tblGrid>
        <w:gridCol w:w="9497"/>
      </w:tblGrid>
      <w:tr w:rsidTr="00BD24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t xml:space="preserve">Foundation skills essential to performance are explicit in the performance criteria of this unit of competency. </w:t>
            </w:r>
          </w:p>
        </w:tc>
      </w:tr>
    </w:tbl>
    <w:p w:rsidR="00760447" w:rsidP="00BD24B6">
      <w:pPr>
        <w:pStyle w:val="NoPaddingFontSize1"/>
      </w:pPr>
    </w:p>
    <w:p w:rsidR="00760447" w:rsidP="00BD24B6">
      <w:pPr>
        <w:pStyle w:val="NoPaddingFontSize1"/>
      </w:pPr>
    </w:p>
    <w:p w:rsidR="00000000" w:rsidRPr="00BD24B6" w:rsidP="00BD24B6">
      <w:pPr>
        <w:pStyle w:val="Heading1"/>
      </w:pPr>
      <w:bookmarkStart w:id="8" w:name="O_1104712"/>
      <w:bookmarkEnd w:id="8"/>
      <w:r w:rsidRPr="00BD24B6">
        <w:t>Range of Conditions</w:t>
      </w:r>
    </w:p>
    <w:tbl>
      <w:tblPr>
        <w:tblW w:w="9497" w:type="dxa"/>
        <w:tblLayout w:type="fixed"/>
        <w:tblCellMar>
          <w:left w:w="62" w:type="dxa"/>
          <w:right w:w="62" w:type="dxa"/>
        </w:tblCellMar>
        <w:tblLook w:val="0000"/>
      </w:tblPr>
      <w:tblGrid>
        <w:gridCol w:w="9497"/>
      </w:tblGrid>
      <w:tr w:rsidTr="00BD24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t>Range is restricted to essential operating conditions and any other variables essential to the work environment.</w:t>
            </w:r>
          </w:p>
          <w:p w:rsidR="00000000" w:rsidRPr="00BD24B6" w:rsidP="00BD24B6">
            <w:pPr>
              <w:pStyle w:val="BodyText"/>
            </w:pPr>
            <w:r w:rsidRPr="00BD24B6">
              <w:t>Non-essential conditions may be found in the Companion Volume Implementation Guide.</w:t>
            </w:r>
          </w:p>
        </w:tc>
      </w:tr>
    </w:tbl>
    <w:p w:rsidR="00760447" w:rsidP="00BD24B6">
      <w:pPr>
        <w:pStyle w:val="NoPaddingFontSize1"/>
      </w:pPr>
    </w:p>
    <w:p w:rsidR="00760447" w:rsidP="00BD24B6">
      <w:pPr>
        <w:pStyle w:val="NoPaddingFontSize1"/>
      </w:pPr>
    </w:p>
    <w:p w:rsidR="00000000" w:rsidRPr="00BD24B6" w:rsidP="00BD24B6">
      <w:pPr>
        <w:pStyle w:val="Heading1"/>
      </w:pPr>
      <w:bookmarkStart w:id="9" w:name="O_1097846"/>
      <w:bookmarkEnd w:id="9"/>
      <w:r w:rsidRPr="00BD24B6">
        <w:t>Unit Mapping Info</w:t>
      </w:r>
      <w:r w:rsidRPr="00BD24B6">
        <w:t>rmation</w:t>
      </w:r>
    </w:p>
    <w:tbl>
      <w:tblPr>
        <w:tblW w:w="9497" w:type="dxa"/>
        <w:tblLayout w:type="fixed"/>
        <w:tblCellMar>
          <w:left w:w="62" w:type="dxa"/>
          <w:right w:w="62" w:type="dxa"/>
        </w:tblCellMar>
        <w:tblLook w:val="0000"/>
      </w:tblPr>
      <w:tblGrid>
        <w:gridCol w:w="9497"/>
      </w:tblGrid>
      <w:tr w:rsidTr="00BD24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24B6" w:rsidP="00BD24B6">
            <w:pPr>
              <w:pStyle w:val="BodyText"/>
            </w:pPr>
            <w:r w:rsidRPr="00BD24B6">
              <w:t>This unit supersedes and is equivalent to DEFEO004 Assess the safety and suitability for service of explosive ordnance.</w:t>
            </w:r>
          </w:p>
        </w:tc>
      </w:tr>
    </w:tbl>
    <w:p w:rsidR="00760447" w:rsidP="00BD24B6">
      <w:pPr>
        <w:pStyle w:val="NoPaddingFontSize1"/>
      </w:pPr>
    </w:p>
    <w:p w:rsidR="00760447" w:rsidP="00BD24B6">
      <w:pPr>
        <w:pStyle w:val="NoPaddingFontSize1"/>
      </w:pPr>
    </w:p>
    <w:p w:rsidR="00000000" w:rsidRPr="00BD24B6" w:rsidP="00BD24B6">
      <w:pPr>
        <w:pStyle w:val="Heading1"/>
      </w:pPr>
      <w:bookmarkStart w:id="10" w:name="O_1097851"/>
      <w:bookmarkEnd w:id="10"/>
      <w:r w:rsidRPr="00BD24B6">
        <w:t>Links</w:t>
      </w:r>
    </w:p>
    <w:p w:rsidR="00000000" w:rsidRPr="00BD24B6" w:rsidP="00760447">
      <w:pPr>
        <w:pStyle w:val="BodyText"/>
      </w:pPr>
      <w:r w:rsidRPr="00BD24B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6326">
        <w:rPr>
          <w:rStyle w:val="Hyperlink"/>
        </w:rPr>
        <w:t>https://vetnet.gov.au/Pages/TrainingDocs.aspx?q=6bdbab1e-11ed-4bc9-9cba-9e1a55d4e4a9</w:t>
      </w:r>
      <w:r>
        <w:fldChar w:fldCharType="end"/>
      </w:r>
    </w:p>
    <w:p w:rsidR="00000000" w:rsidRPr="00BD24B6" w:rsidP="00BD24B6"/>
    <w:sectPr w:rsidSect="00BD24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6" w:rsidRPr="00760447" w:rsidP="007604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447" w:rsidP="00BD24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0447" w:rsidP="00BD24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60447" w:rsidP="00BD24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4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4B6" w:rsidRPr="00760447" w:rsidP="007604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4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447" w:rsidRPr="002D2AF8" w:rsidP="00BD24B6">
    <w:pPr>
      <w:pStyle w:val="Header"/>
      <w:framePr w:wrap="around"/>
    </w:pPr>
    <w:r>
      <w:fldChar w:fldCharType="begin"/>
    </w:r>
    <w:r>
      <w:instrText xml:space="preserve"> TITLE   \* MERGEFORMAT </w:instrText>
    </w:r>
    <w:r>
      <w:fldChar w:fldCharType="separate"/>
    </w:r>
    <w:r>
      <w:t>DEFEXO087 Assess the safety and suitability for service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60447" w:rsidP="00BD24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CE39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5C9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4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4B6"/>
    <w:pPr>
      <w:spacing w:before="360" w:after="60"/>
      <w:outlineLvl w:val="0"/>
    </w:pPr>
    <w:rPr>
      <w:sz w:val="32"/>
    </w:rPr>
  </w:style>
  <w:style w:type="paragraph" w:styleId="Heading2">
    <w:name w:val="heading 2"/>
    <w:basedOn w:val="HeadingBase"/>
    <w:next w:val="BodyText"/>
    <w:link w:val="Heading2Char"/>
    <w:qFormat/>
    <w:rsid w:val="00BD24B6"/>
    <w:pPr>
      <w:keepLines/>
      <w:spacing w:before="240" w:after="120"/>
      <w:outlineLvl w:val="1"/>
    </w:pPr>
    <w:rPr>
      <w:sz w:val="28"/>
      <w:szCs w:val="40"/>
    </w:rPr>
  </w:style>
  <w:style w:type="paragraph" w:styleId="Heading3">
    <w:name w:val="heading 3"/>
    <w:basedOn w:val="HeadingBase"/>
    <w:next w:val="BodyText"/>
    <w:link w:val="Heading3Char"/>
    <w:qFormat/>
    <w:rsid w:val="00BD24B6"/>
    <w:pPr>
      <w:spacing w:before="180" w:after="120"/>
      <w:outlineLvl w:val="2"/>
    </w:pPr>
    <w:rPr>
      <w:spacing w:val="-10"/>
      <w:kern w:val="32"/>
    </w:rPr>
  </w:style>
  <w:style w:type="paragraph" w:styleId="Heading4">
    <w:name w:val="heading 4"/>
    <w:basedOn w:val="HeadingBase"/>
    <w:next w:val="BodyText"/>
    <w:link w:val="Heading4Char"/>
    <w:qFormat/>
    <w:rsid w:val="00BD24B6"/>
    <w:pPr>
      <w:spacing w:before="160" w:after="120"/>
      <w:outlineLvl w:val="3"/>
    </w:pPr>
    <w:rPr>
      <w:sz w:val="22"/>
    </w:rPr>
  </w:style>
  <w:style w:type="paragraph" w:styleId="Heading5">
    <w:name w:val="heading 5"/>
    <w:basedOn w:val="HeadingBase"/>
    <w:next w:val="Normal"/>
    <w:link w:val="Heading5Char"/>
    <w:qFormat/>
    <w:rsid w:val="00BD24B6"/>
    <w:pPr>
      <w:spacing w:before="80"/>
      <w:outlineLvl w:val="4"/>
    </w:pPr>
    <w:rPr>
      <w:color w:val="918585"/>
      <w:sz w:val="20"/>
    </w:rPr>
  </w:style>
  <w:style w:type="paragraph" w:styleId="Heading6">
    <w:name w:val="heading 6"/>
    <w:basedOn w:val="HeadingBase"/>
    <w:next w:val="Normal"/>
    <w:link w:val="Heading6Char"/>
    <w:qFormat/>
    <w:rsid w:val="00BD24B6"/>
    <w:pPr>
      <w:spacing w:before="60"/>
      <w:outlineLvl w:val="5"/>
    </w:pPr>
    <w:rPr>
      <w:color w:val="918585"/>
      <w:sz w:val="20"/>
    </w:rPr>
  </w:style>
  <w:style w:type="paragraph" w:styleId="Heading7">
    <w:name w:val="heading 7"/>
    <w:basedOn w:val="Normal"/>
    <w:next w:val="Normal"/>
    <w:link w:val="Heading7Char"/>
    <w:qFormat/>
    <w:rsid w:val="00BD24B6"/>
    <w:pPr>
      <w:ind w:left="720"/>
      <w:outlineLvl w:val="6"/>
    </w:pPr>
    <w:rPr>
      <w:i/>
    </w:rPr>
  </w:style>
  <w:style w:type="paragraph" w:styleId="Heading8">
    <w:name w:val="heading 8"/>
    <w:basedOn w:val="Normal"/>
    <w:next w:val="Normal"/>
    <w:link w:val="Heading8Char"/>
    <w:qFormat/>
    <w:rsid w:val="00BD24B6"/>
    <w:pPr>
      <w:ind w:left="720"/>
      <w:outlineLvl w:val="7"/>
    </w:pPr>
    <w:rPr>
      <w:i/>
    </w:rPr>
  </w:style>
  <w:style w:type="paragraph" w:styleId="Heading9">
    <w:name w:val="heading 9"/>
    <w:basedOn w:val="Normal"/>
    <w:next w:val="Normal"/>
    <w:link w:val="Heading9Char"/>
    <w:qFormat/>
    <w:rsid w:val="00BD24B6"/>
    <w:pPr>
      <w:ind w:left="720"/>
      <w:outlineLvl w:val="8"/>
    </w:pPr>
    <w:rPr>
      <w:i/>
    </w:rPr>
  </w:style>
  <w:style w:type="character" w:default="1" w:styleId="DefaultParagraphFont">
    <w:name w:val="Default Paragraph Font"/>
    <w:uiPriority w:val="1"/>
    <w:unhideWhenUsed/>
    <w:rsid w:val="00BD24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4B6"/>
  </w:style>
  <w:style w:type="character" w:customStyle="1" w:styleId="Heading1Char">
    <w:name w:val="Heading 1 Char"/>
    <w:basedOn w:val="DefaultParagraphFont"/>
    <w:link w:val="Heading1"/>
    <w:rsid w:val="00BD24B6"/>
    <w:rPr>
      <w:rFonts w:ascii="Times New Roman" w:eastAsia="Times New Roman" w:hAnsi="Times New Roman" w:cs="Times New Roman"/>
      <w:b/>
      <w:sz w:val="32"/>
      <w:szCs w:val="20"/>
      <w:lang w:eastAsia="en-US"/>
    </w:rPr>
  </w:style>
  <w:style w:type="paragraph" w:styleId="BodyText">
    <w:name w:val="Body Text"/>
    <w:basedOn w:val="Normal"/>
    <w:link w:val="BodyTextChar"/>
    <w:rsid w:val="00BD24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4B6"/>
    <w:rPr>
      <w:rFonts w:ascii="Times New Roman" w:eastAsia="Times New Roman" w:hAnsi="Times New Roman" w:cs="Times New Roman"/>
      <w:sz w:val="24"/>
      <w:lang w:eastAsia="en-US"/>
    </w:rPr>
  </w:style>
  <w:style w:type="paragraph" w:styleId="ListBullet">
    <w:name w:val="List Bullet"/>
    <w:basedOn w:val="List"/>
    <w:rsid w:val="00BD24B6"/>
    <w:pPr>
      <w:numPr>
        <w:numId w:val="11"/>
      </w:numPr>
      <w:tabs>
        <w:tab w:val="clear" w:pos="340"/>
      </w:tabs>
      <w:spacing w:before="40" w:after="40"/>
    </w:pPr>
  </w:style>
  <w:style w:type="character" w:customStyle="1" w:styleId="SpecialBold">
    <w:name w:val="Special Bold"/>
    <w:basedOn w:val="DefaultParagraphFont"/>
    <w:rsid w:val="00BD24B6"/>
    <w:rPr>
      <w:b/>
      <w:spacing w:val="0"/>
    </w:rPr>
  </w:style>
  <w:style w:type="paragraph" w:customStyle="1" w:styleId="SuperHeading">
    <w:name w:val="SuperHeading"/>
    <w:basedOn w:val="Normal"/>
    <w:rsid w:val="00BD24B6"/>
    <w:pPr>
      <w:spacing w:before="240" w:after="120"/>
      <w:outlineLvl w:val="0"/>
    </w:pPr>
    <w:rPr>
      <w:rFonts w:ascii="Times New Roman" w:hAnsi="Times New Roman"/>
      <w:b/>
      <w:sz w:val="32"/>
    </w:rPr>
  </w:style>
  <w:style w:type="paragraph" w:customStyle="1" w:styleId="AllowPageBreak">
    <w:name w:val="AllowPageBreak"/>
    <w:rsid w:val="00BD24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24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4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4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4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4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4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4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4B6"/>
    <w:rPr>
      <w:rFonts w:ascii="Courier New" w:eastAsia="Times New Roman" w:hAnsi="Courier New" w:cs="Times New Roman"/>
      <w:i/>
      <w:szCs w:val="20"/>
      <w:lang w:eastAsia="en-US"/>
    </w:rPr>
  </w:style>
  <w:style w:type="paragraph" w:customStyle="1" w:styleId="HeadingBase">
    <w:name w:val="Heading Base"/>
    <w:rsid w:val="00BD24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4B6"/>
    <w:pPr>
      <w:tabs>
        <w:tab w:val="right" w:leader="dot" w:pos="9072"/>
      </w:tabs>
      <w:ind w:left="567"/>
    </w:pPr>
    <w:rPr>
      <w:szCs w:val="22"/>
    </w:rPr>
  </w:style>
  <w:style w:type="paragraph" w:customStyle="1" w:styleId="TOCBase">
    <w:name w:val="TOC Base"/>
    <w:rsid w:val="00BD24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4B6"/>
    <w:pPr>
      <w:tabs>
        <w:tab w:val="right" w:leader="dot" w:pos="9072"/>
      </w:tabs>
      <w:spacing w:before="40" w:after="40"/>
      <w:ind w:left="284"/>
    </w:pPr>
    <w:rPr>
      <w:rFonts w:ascii="Times New Roman" w:hAnsi="Times New Roman"/>
    </w:rPr>
  </w:style>
  <w:style w:type="paragraph" w:styleId="TOC1">
    <w:name w:val="toc 1"/>
    <w:basedOn w:val="TOCBase"/>
    <w:next w:val="Normal"/>
    <w:rsid w:val="00BD24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4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4B6"/>
    <w:rPr>
      <w:rFonts w:ascii="Times New Roman" w:eastAsia="Times New Roman" w:hAnsi="Times New Roman" w:cs="Times New Roman"/>
      <w:sz w:val="16"/>
      <w:lang w:eastAsia="en-US"/>
    </w:rPr>
  </w:style>
  <w:style w:type="paragraph" w:styleId="Title">
    <w:name w:val="Title"/>
    <w:basedOn w:val="HeadingBase"/>
    <w:link w:val="TitleChar"/>
    <w:qFormat/>
    <w:rsid w:val="00BD24B6"/>
    <w:pPr>
      <w:spacing w:before="5040"/>
      <w:jc w:val="center"/>
    </w:pPr>
    <w:rPr>
      <w:sz w:val="48"/>
      <w:szCs w:val="72"/>
      <w:lang w:val="en-US"/>
    </w:rPr>
  </w:style>
  <w:style w:type="character" w:customStyle="1" w:styleId="TitleChar">
    <w:name w:val="Title Char"/>
    <w:basedOn w:val="DefaultParagraphFont"/>
    <w:link w:val="Title"/>
    <w:rsid w:val="00BD24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4B6"/>
    <w:pPr>
      <w:tabs>
        <w:tab w:val="left" w:pos="3600"/>
        <w:tab w:val="left" w:pos="3958"/>
      </w:tabs>
    </w:pPr>
  </w:style>
  <w:style w:type="paragraph" w:styleId="List">
    <w:name w:val="List"/>
    <w:basedOn w:val="BodyText"/>
    <w:next w:val="BodyText"/>
    <w:rsid w:val="00BD24B6"/>
    <w:pPr>
      <w:tabs>
        <w:tab w:val="left" w:pos="340"/>
      </w:tabs>
      <w:spacing w:before="60" w:after="60"/>
      <w:ind w:left="340" w:hanging="340"/>
    </w:pPr>
  </w:style>
  <w:style w:type="paragraph" w:customStyle="1" w:styleId="Note">
    <w:name w:val="Note"/>
    <w:basedOn w:val="BodyText"/>
    <w:rsid w:val="00BD24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4B6"/>
    <w:pPr>
      <w:framePr w:wrap="auto" w:hAnchor="text" w:y="6049"/>
    </w:pPr>
    <w:rPr>
      <w:color w:val="000000"/>
      <w:sz w:val="40"/>
    </w:rPr>
  </w:style>
  <w:style w:type="paragraph" w:customStyle="1" w:styleId="TOCTitle">
    <w:name w:val="TOCTitle"/>
    <w:basedOn w:val="Heading1"/>
    <w:rsid w:val="00BD24B6"/>
    <w:pPr>
      <w:spacing w:after="240"/>
      <w:jc w:val="center"/>
      <w:outlineLvl w:val="9"/>
    </w:pPr>
    <w:rPr>
      <w:caps/>
    </w:rPr>
  </w:style>
  <w:style w:type="paragraph" w:customStyle="1" w:styleId="Version">
    <w:name w:val="Version"/>
    <w:rsid w:val="00BD24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4B6"/>
    <w:pPr>
      <w:numPr>
        <w:numId w:val="12"/>
      </w:numPr>
      <w:tabs>
        <w:tab w:val="clear" w:pos="680"/>
      </w:tabs>
    </w:pPr>
  </w:style>
  <w:style w:type="paragraph" w:styleId="Index1">
    <w:name w:val="index 1"/>
    <w:basedOn w:val="Normal"/>
    <w:next w:val="Normal"/>
    <w:semiHidden/>
    <w:rsid w:val="00BD24B6"/>
    <w:pPr>
      <w:keepNext w:val="0"/>
      <w:tabs>
        <w:tab w:val="right" w:pos="4176"/>
      </w:tabs>
      <w:ind w:left="198" w:hanging="198"/>
    </w:pPr>
    <w:rPr>
      <w:rFonts w:ascii="Garamond" w:hAnsi="Garamond"/>
    </w:rPr>
  </w:style>
  <w:style w:type="paragraph" w:styleId="IndexHeading">
    <w:name w:val="index heading"/>
    <w:basedOn w:val="Normal"/>
    <w:next w:val="Index1"/>
    <w:semiHidden/>
    <w:rsid w:val="00BD24B6"/>
    <w:pPr>
      <w:spacing w:before="120" w:after="120"/>
    </w:pPr>
    <w:rPr>
      <w:rFonts w:ascii="Arial" w:hAnsi="Arial"/>
      <w:b/>
      <w:color w:val="918585"/>
      <w:sz w:val="24"/>
    </w:rPr>
  </w:style>
  <w:style w:type="paragraph" w:styleId="Header">
    <w:name w:val="header"/>
    <w:basedOn w:val="Normal"/>
    <w:link w:val="HeaderChar"/>
    <w:rsid w:val="00BD24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4B6"/>
    <w:rPr>
      <w:rFonts w:ascii="Times New Roman" w:eastAsia="Times New Roman" w:hAnsi="Times New Roman" w:cs="Times New Roman"/>
      <w:sz w:val="16"/>
      <w:szCs w:val="20"/>
      <w:lang w:val="en-GB" w:eastAsia="en-US"/>
    </w:rPr>
  </w:style>
  <w:style w:type="paragraph" w:customStyle="1" w:styleId="Chapter">
    <w:name w:val="Chapter"/>
    <w:basedOn w:val="Normal"/>
    <w:rsid w:val="00BD24B6"/>
    <w:pPr>
      <w:spacing w:before="240"/>
    </w:pPr>
    <w:rPr>
      <w:rFonts w:ascii="Times New Roman" w:hAnsi="Times New Roman"/>
      <w:smallCaps/>
      <w:spacing w:val="80"/>
      <w:sz w:val="28"/>
    </w:rPr>
  </w:style>
  <w:style w:type="paragraph" w:customStyle="1" w:styleId="InChapter">
    <w:name w:val="InChapter"/>
    <w:basedOn w:val="Heading3"/>
    <w:rsid w:val="00BD24B6"/>
    <w:pPr>
      <w:spacing w:after="240"/>
      <w:outlineLvl w:val="9"/>
    </w:pPr>
    <w:rPr>
      <w:noProof/>
    </w:rPr>
  </w:style>
  <w:style w:type="paragraph" w:styleId="Index2">
    <w:name w:val="index 2"/>
    <w:basedOn w:val="Normal"/>
    <w:next w:val="Normal"/>
    <w:semiHidden/>
    <w:rsid w:val="00BD24B6"/>
    <w:pPr>
      <w:tabs>
        <w:tab w:val="right" w:pos="4176"/>
      </w:tabs>
      <w:ind w:left="568" w:hanging="284"/>
    </w:pPr>
    <w:rPr>
      <w:rFonts w:ascii="Garamond" w:hAnsi="Garamond"/>
    </w:rPr>
  </w:style>
  <w:style w:type="paragraph" w:customStyle="1" w:styleId="Byline">
    <w:name w:val="Byline"/>
    <w:rsid w:val="00BD24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4B6"/>
    <w:pPr>
      <w:tabs>
        <w:tab w:val="clear" w:pos="3600"/>
        <w:tab w:val="clear" w:pos="3958"/>
      </w:tabs>
      <w:jc w:val="right"/>
    </w:pPr>
  </w:style>
  <w:style w:type="character" w:styleId="Emphasis">
    <w:name w:val="Emphasis"/>
    <w:basedOn w:val="DefaultParagraphFont"/>
    <w:qFormat/>
    <w:rsid w:val="00BD24B6"/>
    <w:rPr>
      <w:i/>
    </w:rPr>
  </w:style>
  <w:style w:type="paragraph" w:styleId="Caption">
    <w:name w:val="caption"/>
    <w:basedOn w:val="BodyText"/>
    <w:next w:val="Normal"/>
    <w:qFormat/>
    <w:rsid w:val="00BD24B6"/>
    <w:pPr>
      <w:framePr w:w="2268" w:hSpace="181" w:vSpace="181" w:wrap="around" w:vAnchor="text" w:hAnchor="page" w:x="1135" w:y="285" w:anchorLock="1"/>
    </w:pPr>
    <w:rPr>
      <w:i/>
    </w:rPr>
  </w:style>
  <w:style w:type="paragraph" w:customStyle="1" w:styleId="MiniTOCTitle">
    <w:name w:val="MiniTOCTitle"/>
    <w:basedOn w:val="Heading4"/>
    <w:rsid w:val="00BD24B6"/>
    <w:pPr>
      <w:spacing w:before="240"/>
      <w:outlineLvl w:val="9"/>
    </w:pPr>
    <w:rPr>
      <w:noProof/>
      <w:sz w:val="24"/>
    </w:rPr>
  </w:style>
  <w:style w:type="paragraph" w:customStyle="1" w:styleId="MiniTOCItem">
    <w:name w:val="MiniTOCItem"/>
    <w:basedOn w:val="ListBullet"/>
    <w:rsid w:val="00BD24B6"/>
    <w:pPr>
      <w:numPr>
        <w:numId w:val="0"/>
      </w:numPr>
      <w:tabs>
        <w:tab w:val="right" w:leader="dot" w:pos="6521"/>
      </w:tabs>
      <w:spacing w:before="0" w:after="0"/>
    </w:pPr>
  </w:style>
  <w:style w:type="paragraph" w:customStyle="1" w:styleId="TOFTitle">
    <w:name w:val="TOFTitle"/>
    <w:basedOn w:val="TOCTitle"/>
    <w:rsid w:val="00BD24B6"/>
  </w:style>
  <w:style w:type="paragraph" w:styleId="TableofFigures">
    <w:name w:val="table of figures"/>
    <w:basedOn w:val="Normal"/>
    <w:next w:val="Normal"/>
    <w:semiHidden/>
    <w:rsid w:val="00BD24B6"/>
    <w:pPr>
      <w:tabs>
        <w:tab w:val="right" w:leader="dot" w:pos="9072"/>
      </w:tabs>
      <w:ind w:left="970" w:hanging="403"/>
    </w:pPr>
    <w:rPr>
      <w:rFonts w:ascii="Times New Roman" w:hAnsi="Times New Roman"/>
      <w:b/>
    </w:rPr>
  </w:style>
  <w:style w:type="paragraph" w:styleId="ListNumber">
    <w:name w:val="List Number"/>
    <w:basedOn w:val="List"/>
    <w:rsid w:val="00BD24B6"/>
    <w:pPr>
      <w:numPr>
        <w:numId w:val="14"/>
      </w:numPr>
      <w:tabs>
        <w:tab w:val="clear" w:pos="340"/>
      </w:tabs>
    </w:pPr>
  </w:style>
  <w:style w:type="character" w:customStyle="1" w:styleId="WingdingSymbols">
    <w:name w:val="Wingding Symbols"/>
    <w:rsid w:val="00BD24B6"/>
    <w:rPr>
      <w:rFonts w:ascii="Wingdings" w:hAnsi="Wingdings"/>
    </w:rPr>
  </w:style>
  <w:style w:type="paragraph" w:customStyle="1" w:styleId="TableHeading">
    <w:name w:val="Table Heading"/>
    <w:basedOn w:val="HeadingBase"/>
    <w:rsid w:val="00BD24B6"/>
    <w:pPr>
      <w:keepLines/>
      <w:pBdr>
        <w:bottom w:val="single" w:sz="6" w:space="1" w:color="918585"/>
      </w:pBdr>
      <w:spacing w:before="240"/>
    </w:pPr>
  </w:style>
  <w:style w:type="character" w:customStyle="1" w:styleId="HotSpot">
    <w:name w:val="HotSpot"/>
    <w:rsid w:val="00BD24B6"/>
    <w:rPr>
      <w:color w:val="0033CC"/>
      <w:u w:val="none"/>
    </w:rPr>
  </w:style>
  <w:style w:type="paragraph" w:customStyle="1" w:styleId="BodyTextRight">
    <w:name w:val="Body Text Right"/>
    <w:basedOn w:val="BodyText"/>
    <w:rsid w:val="00BD24B6"/>
    <w:pPr>
      <w:spacing w:before="0" w:after="0"/>
      <w:jc w:val="right"/>
    </w:pPr>
  </w:style>
  <w:style w:type="paragraph" w:styleId="Index3">
    <w:name w:val="index 3"/>
    <w:basedOn w:val="ListNumber2"/>
    <w:next w:val="Normal"/>
    <w:semiHidden/>
    <w:rsid w:val="00BD24B6"/>
    <w:pPr>
      <w:numPr>
        <w:numId w:val="0"/>
      </w:numPr>
      <w:tabs>
        <w:tab w:val="right" w:leader="dot" w:pos="4176"/>
      </w:tabs>
    </w:pPr>
  </w:style>
  <w:style w:type="paragraph" w:styleId="ListNumber2">
    <w:name w:val="List Number 2"/>
    <w:basedOn w:val="List2"/>
    <w:rsid w:val="00BD24B6"/>
    <w:pPr>
      <w:numPr>
        <w:numId w:val="9"/>
      </w:numPr>
      <w:tabs>
        <w:tab w:val="clear" w:pos="1060"/>
      </w:tabs>
    </w:pPr>
  </w:style>
  <w:style w:type="paragraph" w:customStyle="1" w:styleId="MarginNote">
    <w:name w:val="Margin Note"/>
    <w:basedOn w:val="BodyText"/>
    <w:rsid w:val="00BD24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4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4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4B6"/>
    <w:rPr>
      <w:sz w:val="32"/>
    </w:rPr>
  </w:style>
  <w:style w:type="paragraph" w:customStyle="1" w:styleId="HeadingProcedure">
    <w:name w:val="Heading Procedure"/>
    <w:basedOn w:val="HeadingBase"/>
    <w:next w:val="Normal"/>
    <w:rsid w:val="00BD24B6"/>
    <w:pPr>
      <w:tabs>
        <w:tab w:val="left" w:pos="0"/>
      </w:tabs>
      <w:spacing w:before="120" w:after="60"/>
    </w:pPr>
    <w:rPr>
      <w:i/>
      <w:color w:val="918585"/>
      <w:sz w:val="22"/>
    </w:rPr>
  </w:style>
  <w:style w:type="paragraph" w:customStyle="1" w:styleId="TableBodyText">
    <w:name w:val="Table Body Text"/>
    <w:basedOn w:val="BodyText"/>
    <w:rsid w:val="00BD24B6"/>
    <w:pPr>
      <w:spacing w:before="60" w:after="60"/>
    </w:pPr>
  </w:style>
  <w:style w:type="paragraph" w:styleId="ListContinue">
    <w:name w:val="List Continue"/>
    <w:basedOn w:val="List"/>
    <w:rsid w:val="00BD24B6"/>
    <w:pPr>
      <w:ind w:firstLine="0"/>
    </w:pPr>
  </w:style>
  <w:style w:type="paragraph" w:customStyle="1" w:styleId="ListNote">
    <w:name w:val="List Note"/>
    <w:basedOn w:val="List"/>
    <w:rsid w:val="00BD24B6"/>
    <w:pPr>
      <w:pBdr>
        <w:top w:val="single" w:sz="6" w:space="2" w:color="918585"/>
        <w:bottom w:val="single" w:sz="6" w:space="2" w:color="918585"/>
      </w:pBdr>
      <w:tabs>
        <w:tab w:val="left" w:pos="1021"/>
      </w:tabs>
      <w:ind w:firstLine="0"/>
    </w:pPr>
  </w:style>
  <w:style w:type="paragraph" w:customStyle="1" w:styleId="Warning">
    <w:name w:val="Warning"/>
    <w:basedOn w:val="BodyText"/>
    <w:rsid w:val="00BD24B6"/>
    <w:pPr>
      <w:shd w:val="clear" w:color="auto" w:fill="D9D9D9"/>
      <w:tabs>
        <w:tab w:val="left" w:pos="992"/>
      </w:tabs>
      <w:ind w:left="119" w:right="119"/>
    </w:pPr>
    <w:rPr>
      <w:sz w:val="20"/>
    </w:rPr>
  </w:style>
  <w:style w:type="paragraph" w:customStyle="1" w:styleId="MarginIcons">
    <w:name w:val="Margin Icons"/>
    <w:basedOn w:val="BodyText"/>
    <w:rsid w:val="00BD24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4B6"/>
    <w:rPr>
      <w:rFonts w:ascii="Courier New" w:hAnsi="Courier New"/>
    </w:rPr>
  </w:style>
  <w:style w:type="paragraph" w:customStyle="1" w:styleId="NoteBullet">
    <w:name w:val="Note Bullet"/>
    <w:basedOn w:val="Note"/>
    <w:rsid w:val="00BD24B6"/>
    <w:pPr>
      <w:tabs>
        <w:tab w:val="clear" w:pos="680"/>
      </w:tabs>
      <w:spacing w:before="60" w:after="60"/>
    </w:pPr>
  </w:style>
  <w:style w:type="paragraph" w:customStyle="1" w:styleId="SubHeading2">
    <w:name w:val="SubHeading2"/>
    <w:basedOn w:val="HeadingBase"/>
    <w:rsid w:val="00BD24B6"/>
    <w:pPr>
      <w:spacing w:before="240" w:after="60"/>
    </w:pPr>
    <w:rPr>
      <w:sz w:val="20"/>
    </w:rPr>
  </w:style>
  <w:style w:type="paragraph" w:customStyle="1" w:styleId="SubHeading1">
    <w:name w:val="SubHeading1"/>
    <w:basedOn w:val="HeadingBase"/>
    <w:rsid w:val="00BD24B6"/>
    <w:pPr>
      <w:spacing w:before="240" w:after="60"/>
    </w:pPr>
    <w:rPr>
      <w:color w:val="918585"/>
      <w:sz w:val="22"/>
    </w:rPr>
  </w:style>
  <w:style w:type="paragraph" w:customStyle="1" w:styleId="SideHeading">
    <w:name w:val="Side Heading"/>
    <w:basedOn w:val="HeadingBase"/>
    <w:rsid w:val="00BD24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4B6"/>
    <w:pPr>
      <w:numPr>
        <w:numId w:val="10"/>
      </w:numPr>
    </w:pPr>
  </w:style>
  <w:style w:type="paragraph" w:styleId="PlainText">
    <w:name w:val="Plain Text"/>
    <w:basedOn w:val="Normal"/>
    <w:link w:val="PlainTextChar"/>
    <w:rsid w:val="00BD24B6"/>
    <w:rPr>
      <w:sz w:val="20"/>
    </w:rPr>
  </w:style>
  <w:style w:type="character" w:customStyle="1" w:styleId="PlainTextChar">
    <w:name w:val="Plain Text Char"/>
    <w:basedOn w:val="DefaultParagraphFont"/>
    <w:link w:val="PlainText"/>
    <w:rsid w:val="00BD24B6"/>
    <w:rPr>
      <w:rFonts w:ascii="Courier New" w:eastAsia="Times New Roman" w:hAnsi="Courier New" w:cs="Times New Roman"/>
      <w:sz w:val="20"/>
      <w:szCs w:val="20"/>
      <w:lang w:eastAsia="en-US"/>
    </w:rPr>
  </w:style>
  <w:style w:type="character" w:customStyle="1" w:styleId="MenuOption">
    <w:name w:val="Menu Option"/>
    <w:basedOn w:val="DefaultParagraphFont"/>
    <w:rsid w:val="00BD24B6"/>
    <w:rPr>
      <w:b/>
      <w:smallCaps/>
    </w:rPr>
  </w:style>
  <w:style w:type="paragraph" w:customStyle="1" w:styleId="TableListNumber">
    <w:name w:val="Table List Number"/>
    <w:basedOn w:val="ListNumber"/>
    <w:rsid w:val="00BD24B6"/>
    <w:pPr>
      <w:numPr>
        <w:numId w:val="0"/>
      </w:numPr>
    </w:pPr>
  </w:style>
  <w:style w:type="paragraph" w:styleId="TOC4">
    <w:name w:val="toc 4"/>
    <w:basedOn w:val="TOCBase"/>
    <w:next w:val="Normal"/>
    <w:semiHidden/>
    <w:rsid w:val="00BD24B6"/>
    <w:pPr>
      <w:tabs>
        <w:tab w:val="right" w:leader="dot" w:pos="9071"/>
      </w:tabs>
      <w:ind w:left="1701"/>
    </w:pPr>
  </w:style>
  <w:style w:type="paragraph" w:customStyle="1" w:styleId="ListAlpha">
    <w:name w:val="List Alpha"/>
    <w:basedOn w:val="List"/>
    <w:rsid w:val="00BD24B6"/>
    <w:pPr>
      <w:numPr>
        <w:numId w:val="8"/>
      </w:numPr>
    </w:pPr>
  </w:style>
  <w:style w:type="paragraph" w:customStyle="1" w:styleId="ListAlpha2">
    <w:name w:val="List Alpha 2"/>
    <w:basedOn w:val="List2"/>
    <w:rsid w:val="00BD24B6"/>
    <w:pPr>
      <w:numPr>
        <w:numId w:val="7"/>
      </w:numPr>
    </w:pPr>
  </w:style>
  <w:style w:type="paragraph" w:styleId="List2">
    <w:name w:val="List 2"/>
    <w:basedOn w:val="BodyText"/>
    <w:rsid w:val="00BD24B6"/>
    <w:pPr>
      <w:tabs>
        <w:tab w:val="left" w:pos="680"/>
      </w:tabs>
      <w:spacing w:before="60" w:after="60"/>
      <w:ind w:left="680" w:hanging="340"/>
    </w:pPr>
  </w:style>
  <w:style w:type="paragraph" w:styleId="List3">
    <w:name w:val="List 3"/>
    <w:basedOn w:val="BodyText"/>
    <w:rsid w:val="00BD24B6"/>
    <w:pPr>
      <w:tabs>
        <w:tab w:val="left" w:pos="1021"/>
      </w:tabs>
      <w:spacing w:before="60" w:after="60"/>
      <w:ind w:left="1020" w:hanging="340"/>
    </w:pPr>
  </w:style>
  <w:style w:type="paragraph" w:styleId="List4">
    <w:name w:val="List 4"/>
    <w:basedOn w:val="BodyText"/>
    <w:rsid w:val="00BD24B6"/>
    <w:pPr>
      <w:tabs>
        <w:tab w:val="left" w:pos="1361"/>
      </w:tabs>
      <w:spacing w:before="60" w:after="60"/>
      <w:ind w:left="1361" w:hanging="340"/>
    </w:pPr>
  </w:style>
  <w:style w:type="paragraph" w:styleId="List5">
    <w:name w:val="List 5"/>
    <w:basedOn w:val="BodyText"/>
    <w:rsid w:val="00BD24B6"/>
    <w:pPr>
      <w:tabs>
        <w:tab w:val="left" w:pos="1701"/>
      </w:tabs>
      <w:spacing w:before="60" w:after="60"/>
      <w:ind w:left="1701" w:hanging="340"/>
    </w:pPr>
  </w:style>
  <w:style w:type="paragraph" w:styleId="ListBullet3">
    <w:name w:val="List Bullet 3"/>
    <w:basedOn w:val="List3"/>
    <w:rsid w:val="00BD24B6"/>
    <w:pPr>
      <w:numPr>
        <w:numId w:val="13"/>
      </w:numPr>
      <w:tabs>
        <w:tab w:val="clear" w:pos="1021"/>
      </w:tabs>
      <w:ind w:left="1037" w:hanging="357"/>
    </w:pPr>
  </w:style>
  <w:style w:type="paragraph" w:styleId="ListBullet4">
    <w:name w:val="List Bullet 4"/>
    <w:basedOn w:val="List4"/>
    <w:rsid w:val="00BD24B6"/>
    <w:pPr>
      <w:numPr>
        <w:numId w:val="2"/>
      </w:numPr>
      <w:tabs>
        <w:tab w:val="clear" w:pos="1361"/>
      </w:tabs>
    </w:pPr>
  </w:style>
  <w:style w:type="paragraph" w:styleId="ListBullet5">
    <w:name w:val="List Bullet 5"/>
    <w:basedOn w:val="List5"/>
    <w:rsid w:val="00BD24B6"/>
    <w:pPr>
      <w:numPr>
        <w:numId w:val="3"/>
      </w:numPr>
    </w:pPr>
  </w:style>
  <w:style w:type="paragraph" w:styleId="ListContinue2">
    <w:name w:val="List Continue 2"/>
    <w:basedOn w:val="List2"/>
    <w:rsid w:val="00BD24B6"/>
    <w:pPr>
      <w:ind w:firstLine="0"/>
    </w:pPr>
  </w:style>
  <w:style w:type="paragraph" w:styleId="ListContinue3">
    <w:name w:val="List Continue 3"/>
    <w:basedOn w:val="List3"/>
    <w:rsid w:val="00BD24B6"/>
    <w:pPr>
      <w:ind w:left="1021" w:firstLine="0"/>
    </w:pPr>
  </w:style>
  <w:style w:type="paragraph" w:styleId="ListContinue4">
    <w:name w:val="List Continue 4"/>
    <w:basedOn w:val="List4"/>
    <w:rsid w:val="00BD24B6"/>
    <w:pPr>
      <w:ind w:firstLine="0"/>
    </w:pPr>
  </w:style>
  <w:style w:type="paragraph" w:styleId="ListContinue5">
    <w:name w:val="List Continue 5"/>
    <w:basedOn w:val="List5"/>
    <w:rsid w:val="00BD24B6"/>
    <w:pPr>
      <w:ind w:firstLine="0"/>
    </w:pPr>
  </w:style>
  <w:style w:type="paragraph" w:styleId="ListNumber3">
    <w:name w:val="List Number 3"/>
    <w:basedOn w:val="List3"/>
    <w:rsid w:val="00BD24B6"/>
    <w:pPr>
      <w:numPr>
        <w:numId w:val="4"/>
      </w:numPr>
    </w:pPr>
  </w:style>
  <w:style w:type="paragraph" w:styleId="ListNumber4">
    <w:name w:val="List Number 4"/>
    <w:basedOn w:val="List4"/>
    <w:rsid w:val="00BD24B6"/>
    <w:pPr>
      <w:numPr>
        <w:numId w:val="5"/>
      </w:numPr>
    </w:pPr>
  </w:style>
  <w:style w:type="paragraph" w:styleId="ListNumber5">
    <w:name w:val="List Number 5"/>
    <w:basedOn w:val="List5"/>
    <w:rsid w:val="00BD24B6"/>
    <w:pPr>
      <w:numPr>
        <w:numId w:val="6"/>
      </w:numPr>
    </w:pPr>
  </w:style>
  <w:style w:type="paragraph" w:styleId="BlockText">
    <w:name w:val="Block Text"/>
    <w:basedOn w:val="Normal"/>
    <w:rsid w:val="00BD24B6"/>
    <w:pPr>
      <w:spacing w:after="120"/>
      <w:ind w:left="1440" w:right="1440"/>
    </w:pPr>
  </w:style>
  <w:style w:type="character" w:customStyle="1" w:styleId="Subscript">
    <w:name w:val="Subscript"/>
    <w:basedOn w:val="DefaultParagraphFont"/>
    <w:rsid w:val="00BD24B6"/>
    <w:rPr>
      <w:sz w:val="16"/>
      <w:vertAlign w:val="subscript"/>
    </w:rPr>
  </w:style>
  <w:style w:type="character" w:customStyle="1" w:styleId="Superscript">
    <w:name w:val="Superscript"/>
    <w:basedOn w:val="DefaultParagraphFont"/>
    <w:rsid w:val="00BD24B6"/>
    <w:rPr>
      <w:sz w:val="16"/>
      <w:vertAlign w:val="superscript"/>
    </w:rPr>
  </w:style>
  <w:style w:type="character" w:customStyle="1" w:styleId="Symbols">
    <w:name w:val="Symbols"/>
    <w:basedOn w:val="DefaultParagraphFont"/>
    <w:rsid w:val="00BD24B6"/>
    <w:rPr>
      <w:rFonts w:ascii="Symbol" w:hAnsi="Symbol"/>
    </w:rPr>
  </w:style>
  <w:style w:type="character" w:customStyle="1" w:styleId="MenuOptions">
    <w:name w:val="Menu Options"/>
    <w:basedOn w:val="DefaultParagraphFont"/>
    <w:rsid w:val="00BD24B6"/>
    <w:rPr>
      <w:rFonts w:ascii="Arial Narrow" w:hAnsi="Arial Narrow"/>
      <w:smallCaps/>
    </w:rPr>
  </w:style>
  <w:style w:type="character" w:customStyle="1" w:styleId="Buttons">
    <w:name w:val="Buttons"/>
    <w:basedOn w:val="DefaultParagraphFont"/>
    <w:rsid w:val="00BD24B6"/>
    <w:rPr>
      <w:b/>
    </w:rPr>
  </w:style>
  <w:style w:type="character" w:customStyle="1" w:styleId="Underlined">
    <w:name w:val="Underlined"/>
    <w:basedOn w:val="DefaultParagraphFont"/>
    <w:rsid w:val="00BD24B6"/>
    <w:rPr>
      <w:u w:val="single"/>
    </w:rPr>
  </w:style>
  <w:style w:type="paragraph" w:customStyle="1" w:styleId="TableBodyTextRight">
    <w:name w:val="Table Body Text Right"/>
    <w:basedOn w:val="TableBodyText"/>
    <w:rsid w:val="00BD24B6"/>
    <w:pPr>
      <w:widowControl w:val="0"/>
      <w:autoSpaceDE w:val="0"/>
      <w:autoSpaceDN w:val="0"/>
      <w:adjustRightInd w:val="0"/>
      <w:jc w:val="right"/>
    </w:pPr>
    <w:rPr>
      <w:rFonts w:cs="Arial"/>
      <w:szCs w:val="18"/>
    </w:rPr>
  </w:style>
  <w:style w:type="paragraph" w:customStyle="1" w:styleId="CopyrightText">
    <w:name w:val="Copyright Text"/>
    <w:basedOn w:val="BodyText"/>
    <w:rsid w:val="00BD24B6"/>
    <w:rPr>
      <w:sz w:val="18"/>
    </w:rPr>
  </w:style>
  <w:style w:type="paragraph" w:customStyle="1" w:styleId="BodySmallRight">
    <w:name w:val="Body Small Right"/>
    <w:basedOn w:val="BodyTextRight"/>
    <w:rsid w:val="00BD24B6"/>
    <w:rPr>
      <w:sz w:val="18"/>
      <w:szCs w:val="18"/>
    </w:rPr>
  </w:style>
  <w:style w:type="paragraph" w:customStyle="1" w:styleId="MarginEdition">
    <w:name w:val="Margin Edition"/>
    <w:basedOn w:val="MarginNote"/>
    <w:rsid w:val="00BD24B6"/>
    <w:pPr>
      <w:spacing w:before="0" w:after="0"/>
    </w:pPr>
    <w:rPr>
      <w:rFonts w:ascii="Times New Roman" w:hAnsi="Times New Roman"/>
      <w:color w:val="999999"/>
    </w:rPr>
  </w:style>
  <w:style w:type="paragraph" w:customStyle="1" w:styleId="Spacer">
    <w:name w:val="Spacer"/>
    <w:basedOn w:val="Normal"/>
    <w:rsid w:val="00BD24B6"/>
    <w:rPr>
      <w:sz w:val="2"/>
      <w:szCs w:val="2"/>
    </w:rPr>
  </w:style>
  <w:style w:type="character" w:customStyle="1" w:styleId="Small">
    <w:name w:val="Small"/>
    <w:basedOn w:val="DefaultParagraphFont"/>
    <w:rsid w:val="00BD24B6"/>
    <w:rPr>
      <w:sz w:val="16"/>
    </w:rPr>
  </w:style>
  <w:style w:type="paragraph" w:customStyle="1" w:styleId="WideTable">
    <w:name w:val="Wide Table"/>
    <w:basedOn w:val="Normal"/>
    <w:rsid w:val="00BD24B6"/>
    <w:pPr>
      <w:ind w:left="-1418"/>
    </w:pPr>
    <w:rPr>
      <w:sz w:val="2"/>
      <w:szCs w:val="2"/>
    </w:rPr>
  </w:style>
  <w:style w:type="character" w:styleId="PageNumber">
    <w:name w:val="page number"/>
    <w:basedOn w:val="DefaultParagraphFont"/>
    <w:rsid w:val="00BD24B6"/>
  </w:style>
  <w:style w:type="paragraph" w:styleId="Quote">
    <w:name w:val="Quote"/>
    <w:basedOn w:val="Heading1"/>
    <w:link w:val="QuoteChar"/>
    <w:qFormat/>
    <w:rsid w:val="00BD24B6"/>
    <w:rPr>
      <w:b w:val="0"/>
      <w:sz w:val="72"/>
      <w:szCs w:val="72"/>
      <w:lang w:val="en-NZ"/>
    </w:rPr>
  </w:style>
  <w:style w:type="character" w:customStyle="1" w:styleId="QuoteChar">
    <w:name w:val="Quote Char"/>
    <w:basedOn w:val="DefaultParagraphFont"/>
    <w:link w:val="Quote"/>
    <w:rsid w:val="00BD24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4B6"/>
    <w:pPr>
      <w:pageBreakBefore/>
    </w:pPr>
  </w:style>
  <w:style w:type="paragraph" w:customStyle="1" w:styleId="Border">
    <w:name w:val="Border"/>
    <w:basedOn w:val="Normal"/>
    <w:qFormat/>
    <w:rsid w:val="00BD24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4B6"/>
    <w:rPr>
      <w:b/>
      <w:bCs/>
      <w:i/>
      <w:iCs/>
      <w:color w:val="auto"/>
    </w:rPr>
  </w:style>
  <w:style w:type="paragraph" w:styleId="IntenseQuote">
    <w:name w:val="Intense Quote"/>
    <w:basedOn w:val="Normal"/>
    <w:next w:val="Normal"/>
    <w:link w:val="IntenseQuoteChar"/>
    <w:uiPriority w:val="30"/>
    <w:qFormat/>
    <w:rsid w:val="00BD24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4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4B6"/>
    <w:rPr>
      <w:smallCaps/>
      <w:color w:val="auto"/>
      <w:u w:val="single"/>
    </w:rPr>
  </w:style>
  <w:style w:type="character" w:styleId="IntenseReference">
    <w:name w:val="Intense Reference"/>
    <w:basedOn w:val="DefaultParagraphFont"/>
    <w:uiPriority w:val="32"/>
    <w:qFormat/>
    <w:rsid w:val="00BD24B6"/>
    <w:rPr>
      <w:b/>
      <w:bCs/>
      <w:smallCaps/>
      <w:color w:val="auto"/>
      <w:spacing w:val="5"/>
      <w:u w:val="single"/>
    </w:rPr>
  </w:style>
  <w:style w:type="paragraph" w:customStyle="1" w:styleId="2ColumnHeading">
    <w:name w:val="2Column Heading"/>
    <w:basedOn w:val="BodyText"/>
    <w:qFormat/>
    <w:rsid w:val="00BD24B6"/>
    <w:pPr>
      <w:spacing w:after="60"/>
      <w:ind w:left="-2268"/>
    </w:pPr>
    <w:rPr>
      <w:b/>
    </w:rPr>
  </w:style>
  <w:style w:type="paragraph" w:customStyle="1" w:styleId="Heading1TOC">
    <w:name w:val="Heading1 TOC"/>
    <w:basedOn w:val="Normal"/>
    <w:qFormat/>
    <w:rsid w:val="00BD24B6"/>
    <w:pPr>
      <w:spacing w:before="240" w:after="120"/>
    </w:pPr>
    <w:rPr>
      <w:rFonts w:ascii="Times New Roman" w:hAnsi="Times New Roman"/>
      <w:b/>
      <w:sz w:val="32"/>
    </w:rPr>
  </w:style>
  <w:style w:type="paragraph" w:customStyle="1" w:styleId="Heading2TOC">
    <w:name w:val="Heading2 TOC"/>
    <w:basedOn w:val="Normal"/>
    <w:qFormat/>
    <w:rsid w:val="00BD24B6"/>
    <w:pPr>
      <w:spacing w:before="240" w:after="60"/>
    </w:pPr>
    <w:rPr>
      <w:rFonts w:ascii="Times New Roman" w:hAnsi="Times New Roman"/>
      <w:b/>
      <w:sz w:val="28"/>
    </w:rPr>
  </w:style>
  <w:style w:type="character" w:customStyle="1" w:styleId="Underline">
    <w:name w:val="Underline"/>
    <w:basedOn w:val="DefaultParagraphFont"/>
    <w:qFormat/>
    <w:rsid w:val="00BD24B6"/>
    <w:rPr>
      <w:u w:val="single"/>
    </w:rPr>
  </w:style>
  <w:style w:type="character" w:customStyle="1" w:styleId="BoldandItalics">
    <w:name w:val="Bold and Italics"/>
    <w:qFormat/>
    <w:rsid w:val="00BD24B6"/>
    <w:rPr>
      <w:b/>
      <w:i/>
      <w:u w:val="none"/>
    </w:rPr>
  </w:style>
  <w:style w:type="paragraph" w:styleId="BalloonText">
    <w:name w:val="Balloon Text"/>
    <w:basedOn w:val="Normal"/>
    <w:link w:val="BalloonTextChar"/>
    <w:rsid w:val="00BD24B6"/>
    <w:rPr>
      <w:rFonts w:ascii="Tahoma" w:hAnsi="Tahoma" w:cs="Tahoma"/>
      <w:sz w:val="16"/>
      <w:szCs w:val="16"/>
    </w:rPr>
  </w:style>
  <w:style w:type="character" w:customStyle="1" w:styleId="BalloonTextChar">
    <w:name w:val="Balloon Text Char"/>
    <w:basedOn w:val="DefaultParagraphFont"/>
    <w:link w:val="BalloonText"/>
    <w:rsid w:val="00BD24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4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4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4B6"/>
    <w:rPr>
      <w:b/>
      <w:color w:val="660033"/>
      <w:spacing w:val="0"/>
    </w:rPr>
  </w:style>
  <w:style w:type="paragraph" w:customStyle="1" w:styleId="Nameditemlist">
    <w:name w:val="Named item list"/>
    <w:basedOn w:val="BodyText"/>
    <w:qFormat/>
    <w:rsid w:val="00BD24B6"/>
    <w:pPr>
      <w:tabs>
        <w:tab w:val="left" w:pos="2835"/>
      </w:tabs>
      <w:ind w:left="2835" w:hanging="2835"/>
    </w:pPr>
  </w:style>
  <w:style w:type="paragraph" w:customStyle="1" w:styleId="BodyTextnopadding">
    <w:name w:val="Body Text no padding"/>
    <w:basedOn w:val="BodyText"/>
    <w:qFormat/>
    <w:rsid w:val="00BD24B6"/>
    <w:pPr>
      <w:spacing w:before="0" w:after="0"/>
    </w:pPr>
  </w:style>
  <w:style w:type="paragraph" w:customStyle="1" w:styleId="BodyTextBold">
    <w:name w:val="Body Text Bold"/>
    <w:basedOn w:val="BodyText"/>
    <w:qFormat/>
    <w:rsid w:val="00BD24B6"/>
    <w:rPr>
      <w:b/>
    </w:rPr>
  </w:style>
  <w:style w:type="character" w:styleId="Hyperlink">
    <w:name w:val="Hyperlink"/>
    <w:basedOn w:val="DefaultParagraphFont"/>
    <w:uiPriority w:val="99"/>
    <w:unhideWhenUsed/>
    <w:rsid w:val="007604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4244</Characters>
  <Application>Microsoft Office Word</Application>
  <DocSecurity>0</DocSecurity>
  <Lines>184</Lines>
  <Paragraphs>107</Paragraphs>
  <ScaleCrop>false</ScaleCrop>
  <Company>Author-it Software Corporation Ltd.</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DEFEXO087 Assess the safety and suitability for service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