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8F3" w:rsidP="009118F3">
      <w:pPr>
        <w:pStyle w:val="Title"/>
      </w:pPr>
      <w:r>
        <w:fldChar w:fldCharType="begin"/>
      </w:r>
      <w:r>
        <w:instrText xml:space="preserve"> TITLE   \* MERGEFORMAT </w:instrText>
      </w:r>
      <w:r>
        <w:fldChar w:fldCharType="separate"/>
      </w:r>
      <w:r>
        <w:t>DEFEXO087 Assess the safety and suitability for service of explosives</w:t>
      </w:r>
      <w:r>
        <w:fldChar w:fldCharType="end"/>
      </w:r>
    </w:p>
    <w:p w:rsidR="009118F3" w:rsidP="009118F3">
      <w:pPr>
        <w:pStyle w:val="Version"/>
        <w:sectPr w:rsidSect="00117F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7F09" w:rsidP="00117F09">
      <w:pPr>
        <w:pStyle w:val="SuperHeading"/>
      </w:pPr>
      <w:r w:rsidRPr="00117F09">
        <w:t>DEFEXO087 Assess the safety and suitability for service of explosives</w:t>
      </w:r>
    </w:p>
    <w:p w:rsidR="00000000" w:rsidRPr="00117F09" w:rsidP="00117F09">
      <w:pPr>
        <w:pStyle w:val="Heading1"/>
      </w:pPr>
      <w:bookmarkStart w:id="1" w:name="O_1097850"/>
      <w:bookmarkEnd w:id="1"/>
      <w:r w:rsidRPr="00117F09">
        <w:t>Modification History</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Release 2. Modifications made to Foundation Skills and Assessment Conditions.</w:t>
            </w:r>
          </w:p>
        </w:tc>
      </w:tr>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Release 1. This unit was released in DEF Defence Training Package release 1.0 and meets the Standards for Training Packages.</w:t>
            </w:r>
          </w:p>
          <w:p w:rsidR="00000000" w:rsidRPr="00117F09" w:rsidP="00117F09">
            <w:pPr>
              <w:pStyle w:val="BodyText"/>
            </w:pPr>
            <w:r w:rsidRPr="00117F09">
              <w:t>This unit supersedes and is equivalent to DEFEO004 Assess the safety and suitability for service of explosive ordnance.</w:t>
            </w:r>
          </w:p>
          <w:p w:rsidR="00000000" w:rsidRPr="00117F09" w:rsidP="00117F09">
            <w:pPr>
              <w:pStyle w:val="ListBullet"/>
            </w:pPr>
            <w:r w:rsidRPr="00117F09">
              <w:t xml:space="preserve">Unit code </w:t>
            </w:r>
            <w:r w:rsidRPr="00117F09">
              <w:t>updated</w:t>
            </w:r>
          </w:p>
          <w:p w:rsidR="00000000" w:rsidRPr="00117F09" w:rsidP="00117F09">
            <w:pPr>
              <w:pStyle w:val="ListBullet"/>
            </w:pPr>
            <w:r w:rsidRPr="00117F09">
              <w:t>Content and formatting updated to comply with the new standards</w:t>
            </w:r>
          </w:p>
          <w:p w:rsidR="00000000" w:rsidRPr="00117F09" w:rsidP="00117F09">
            <w:pPr>
              <w:pStyle w:val="ListBullet"/>
            </w:pPr>
            <w:r w:rsidRPr="00117F09">
              <w:t>All PC transitioned from passive to active voice</w:t>
            </w:r>
          </w:p>
          <w:p w:rsidR="00000000" w:rsidRPr="00117F09" w:rsidP="00117F09">
            <w:pPr>
              <w:pStyle w:val="ListBullet"/>
            </w:pPr>
            <w:r w:rsidRPr="00117F09">
              <w:t>PC 1.1 and 3.1 reworded</w:t>
            </w:r>
          </w:p>
        </w:tc>
      </w:tr>
    </w:tbl>
    <w:p w:rsidR="009118F3" w:rsidP="00117F09">
      <w:pPr>
        <w:pStyle w:val="NoPaddingFontSize1"/>
      </w:pPr>
    </w:p>
    <w:p w:rsidR="009118F3" w:rsidP="00117F09">
      <w:pPr>
        <w:pStyle w:val="NoPaddingFontSize1"/>
      </w:pPr>
    </w:p>
    <w:p w:rsidR="00000000" w:rsidRPr="00117F09" w:rsidP="00117F09">
      <w:pPr>
        <w:pStyle w:val="Heading1"/>
      </w:pPr>
      <w:bookmarkStart w:id="2" w:name="O_1097849"/>
      <w:bookmarkEnd w:id="2"/>
      <w:r w:rsidRPr="00117F09">
        <w:t>Application</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 xml:space="preserve">This unit describes the skills required to assess if the explosives will present an unacceptable hazard to the lives of Defence personnel or the public while being transported, stored or operated in a defined environment. It will also assess if explosives </w:t>
            </w:r>
            <w:r w:rsidRPr="00117F09">
              <w:t>will function as designed and are not unacceptably degraded by the service environments encountered during the service life. It includes the requirement to identify the scope of the assessment process and to determine the requirement for any testing or tri</w:t>
            </w:r>
            <w:r w:rsidRPr="00117F09">
              <w:t xml:space="preserve">als prior to introduction into service. </w:t>
            </w:r>
          </w:p>
          <w:p w:rsidR="00000000" w:rsidRPr="00117F09" w:rsidP="00117F09">
            <w:pPr>
              <w:pStyle w:val="BodyText"/>
            </w:pPr>
            <w:r w:rsidRPr="00117F09">
              <w:t>The assessment is complex due to:</w:t>
            </w:r>
          </w:p>
          <w:p w:rsidR="00000000" w:rsidRPr="00117F09" w:rsidP="00117F09">
            <w:pPr>
              <w:pStyle w:val="ListBullet"/>
            </w:pPr>
            <w:r w:rsidRPr="00117F09">
              <w:t>scope</w:t>
            </w:r>
          </w:p>
          <w:p w:rsidR="00000000" w:rsidRPr="00117F09" w:rsidP="00117F09">
            <w:pPr>
              <w:pStyle w:val="ListBullet"/>
            </w:pPr>
            <w:r w:rsidRPr="00117F09">
              <w:t>degree of risk</w:t>
            </w:r>
          </w:p>
          <w:p w:rsidR="00000000" w:rsidRPr="00117F09" w:rsidP="00117F09">
            <w:pPr>
              <w:pStyle w:val="ListBullet"/>
            </w:pPr>
            <w:r w:rsidRPr="00117F09">
              <w:t>environmental, political, cultural and social factors that apply</w:t>
            </w:r>
          </w:p>
          <w:p w:rsidR="00000000" w:rsidRPr="00117F09" w:rsidP="00117F09">
            <w:pPr>
              <w:pStyle w:val="ListBullet"/>
            </w:pPr>
            <w:r w:rsidRPr="00117F09">
              <w:t>consequences of failure</w:t>
            </w:r>
          </w:p>
          <w:p w:rsidR="00000000" w:rsidRPr="00117F09" w:rsidP="00117F09">
            <w:pPr>
              <w:pStyle w:val="ListBullet"/>
            </w:pPr>
            <w:r w:rsidRPr="00117F09">
              <w:t>degree of control</w:t>
            </w:r>
          </w:p>
          <w:p w:rsidR="00000000" w:rsidRPr="00117F09" w:rsidP="00117F09">
            <w:pPr>
              <w:pStyle w:val="BodyText"/>
            </w:pPr>
            <w:r w:rsidRPr="00117F09">
              <w:t>This unit applies to those required to conduct an an</w:t>
            </w:r>
            <w:r w:rsidRPr="00117F09">
              <w:t>alysis of identified explosives for the purpose of determining their safety and suitability for service.</w:t>
            </w:r>
          </w:p>
          <w:p w:rsidR="00000000" w:rsidRPr="00117F09" w:rsidP="00117F09">
            <w:pPr>
              <w:pStyle w:val="BodyText"/>
            </w:pPr>
            <w:r w:rsidRPr="00117F09">
              <w:t>The skills and knowledge described in this unit must be applied within the legislative, regulatory and policy environment in which they are carried out</w:t>
            </w:r>
            <w:r w:rsidRPr="00117F09">
              <w:t>. Organisational policies and procedures must be consulted and adhered to.</w:t>
            </w:r>
          </w:p>
          <w:p w:rsidR="00000000" w:rsidRPr="00117F09" w:rsidP="00117F09">
            <w:pPr>
              <w:pStyle w:val="BodyText"/>
            </w:pPr>
            <w:r w:rsidRPr="00117F09">
              <w:t>Those undertaking this unit would make high level, fully independent judgements, applying a detailed knowledge of explosives, analysing complex data and producing specific documents</w:t>
            </w:r>
            <w:r w:rsidRPr="00117F09">
              <w:t xml:space="preserve"> detailing the outcomes of highly specialised technical functions. They would perform sophisticated tasks in highly specialised operational contexts.</w:t>
            </w:r>
          </w:p>
          <w:p w:rsidR="00000000" w:rsidRPr="00117F09" w:rsidP="00117F09">
            <w:pPr>
              <w:pStyle w:val="BodyText"/>
            </w:pPr>
            <w:r w:rsidRPr="00117F09">
              <w:t>No licensing, legislative or certification requirements apply to unit at the time of publication.</w:t>
            </w:r>
          </w:p>
        </w:tc>
      </w:tr>
    </w:tbl>
    <w:p w:rsidR="009118F3" w:rsidP="00117F09">
      <w:pPr>
        <w:pStyle w:val="NoPaddingFontSize1"/>
      </w:pPr>
    </w:p>
    <w:p w:rsidR="009118F3" w:rsidP="00117F09">
      <w:pPr>
        <w:pStyle w:val="NoPaddingFontSize1"/>
      </w:pPr>
    </w:p>
    <w:p w:rsidR="00000000" w:rsidRPr="00117F09" w:rsidP="00117F09">
      <w:pPr>
        <w:pStyle w:val="Heading1"/>
      </w:pPr>
      <w:bookmarkStart w:id="3" w:name="O_1104709"/>
      <w:bookmarkEnd w:id="3"/>
      <w:r w:rsidRPr="00117F09">
        <w:t>Pre-requisite Unit</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Not applicable.</w:t>
            </w:r>
          </w:p>
        </w:tc>
      </w:tr>
    </w:tbl>
    <w:p w:rsidR="009118F3" w:rsidP="00117F09">
      <w:pPr>
        <w:pStyle w:val="NoPaddingFontSize1"/>
      </w:pPr>
    </w:p>
    <w:p w:rsidR="009118F3" w:rsidP="00117F09">
      <w:pPr>
        <w:pStyle w:val="NoPaddingFontSize1"/>
      </w:pPr>
    </w:p>
    <w:p w:rsidR="00000000" w:rsidRPr="00117F09" w:rsidP="00117F09">
      <w:pPr>
        <w:pStyle w:val="Heading1"/>
      </w:pPr>
      <w:bookmarkStart w:id="4" w:name="O_1104710"/>
      <w:bookmarkEnd w:id="4"/>
      <w:r w:rsidRPr="00117F09">
        <w:t>Competency Field</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Explosive Ordnance</w:t>
            </w:r>
          </w:p>
        </w:tc>
      </w:tr>
    </w:tbl>
    <w:p w:rsidR="009118F3" w:rsidP="00117F09">
      <w:pPr>
        <w:pStyle w:val="NoPaddingFontSize1"/>
      </w:pPr>
    </w:p>
    <w:p w:rsidR="009118F3" w:rsidP="00117F09">
      <w:pPr>
        <w:pStyle w:val="NoPaddingFontSize1"/>
      </w:pPr>
    </w:p>
    <w:p w:rsidR="00000000" w:rsidRPr="00117F09" w:rsidP="00117F09">
      <w:pPr>
        <w:pStyle w:val="Heading1"/>
      </w:pPr>
      <w:bookmarkStart w:id="5" w:name="O_1104711"/>
      <w:bookmarkEnd w:id="5"/>
      <w:r w:rsidRPr="00117F09">
        <w:t>Unit Sector</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Not applicable.</w:t>
            </w:r>
          </w:p>
        </w:tc>
      </w:tr>
    </w:tbl>
    <w:p w:rsidR="009118F3" w:rsidP="00117F09">
      <w:pPr>
        <w:pStyle w:val="NoPaddingFontSize1"/>
      </w:pPr>
    </w:p>
    <w:p w:rsidR="009118F3" w:rsidP="00117F09">
      <w:pPr>
        <w:pStyle w:val="NoPaddingFontSize1"/>
      </w:pPr>
    </w:p>
    <w:p w:rsidR="00000000" w:rsidRPr="00117F09" w:rsidP="00117F09">
      <w:pPr>
        <w:pStyle w:val="Heading1"/>
      </w:pPr>
      <w:bookmarkStart w:id="6" w:name="O_1097848"/>
      <w:bookmarkEnd w:id="6"/>
      <w:r w:rsidRPr="00117F0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17F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PERFORMANCE CRITERIA</w:t>
            </w:r>
          </w:p>
        </w:tc>
      </w:tr>
      <w:tr w:rsidTr="00117F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Performance criteria describe the performance needed to demonstrate achievement of the element.</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Prepare for a safety and suitability for service assessment of explosives</w:t>
            </w: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Receive and confirm assessment requ</w:t>
            </w:r>
            <w:r w:rsidRPr="00117F09">
              <w:t>irements and the agreed customer requirements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the design precedents and safety principles of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and confirm life cycle events for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and define the predicted service environment for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Conduct explosive hazard assessment</w:t>
            </w: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hazards associated with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Evaluate hazards and determine the risk index for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system hazards for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and record actions to eliminate or control the hazards for stakeholder consideration</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Conduct explosive design assessment</w:t>
            </w: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explosive chemistry</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and assess explosive train components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Identify and assess the environmental conditions for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Evaluate the usage and disposal requirements of the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Determine the requirement of explosive trials or tests</w:t>
            </w: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Determine the requirement for conduct of trials and/or evaluation of explosives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117F09">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Provide written instructions for trials and/or evaluation to the appropriate testing authority</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Conduct analysis of trials and/or evaluation outcomes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Incorporate trial and/or evaluation outcomes in relevant reports and other documentation</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rPr>
                <w:rStyle w:val="SpecialBold"/>
              </w:rPr>
              <w:t>Report and provide guidance on explosive safety and suitability for service</w:t>
            </w: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Record and report outcomes to all relevant stakeholders</w:t>
            </w:r>
          </w:p>
        </w:tc>
      </w:tr>
      <w:tr w:rsidTr="00117F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17F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Finalise relevant saf</w:t>
            </w:r>
            <w:r w:rsidRPr="00117F09">
              <w:t>ety and suitability for service certification and documentation</w:t>
            </w:r>
          </w:p>
        </w:tc>
      </w:tr>
    </w:tbl>
    <w:p w:rsidR="009118F3" w:rsidP="00117F09">
      <w:pPr>
        <w:pStyle w:val="BodyText"/>
      </w:pPr>
    </w:p>
    <w:p w:rsidR="009118F3" w:rsidP="00117F09">
      <w:pPr>
        <w:pStyle w:val="BodyText"/>
      </w:pPr>
    </w:p>
    <w:p w:rsidR="00000000" w:rsidRPr="00117F09" w:rsidP="00117F09">
      <w:pPr>
        <w:pStyle w:val="Heading1"/>
      </w:pPr>
      <w:bookmarkStart w:id="7" w:name="O_1097847"/>
      <w:bookmarkEnd w:id="7"/>
      <w:r w:rsidRPr="00117F09">
        <w:t>Foundation Skills</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 xml:space="preserve">Foundation skills essential to performance are explicit in the performance criteria of this unit of competency. </w:t>
            </w:r>
          </w:p>
        </w:tc>
      </w:tr>
    </w:tbl>
    <w:p w:rsidR="009118F3" w:rsidP="00117F09">
      <w:pPr>
        <w:pStyle w:val="NoPaddingFontSize1"/>
      </w:pPr>
    </w:p>
    <w:p w:rsidR="009118F3" w:rsidP="00117F09">
      <w:pPr>
        <w:pStyle w:val="NoPaddingFontSize1"/>
      </w:pPr>
    </w:p>
    <w:p w:rsidR="00000000" w:rsidRPr="00117F09" w:rsidP="00117F09">
      <w:pPr>
        <w:pStyle w:val="Heading1"/>
      </w:pPr>
      <w:bookmarkStart w:id="8" w:name="O_1104712"/>
      <w:bookmarkEnd w:id="8"/>
      <w:r w:rsidRPr="00117F09">
        <w:t>Range of Conditions</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Range is restricted to essential operating conditions and any other variables essential to the work environment.</w:t>
            </w:r>
          </w:p>
          <w:p w:rsidR="00000000" w:rsidRPr="00117F09" w:rsidP="00117F09">
            <w:pPr>
              <w:pStyle w:val="BodyText"/>
            </w:pPr>
            <w:r w:rsidRPr="00117F09">
              <w:t>Non-essential conditions may be found in the Companion Volume Implementation Guide.</w:t>
            </w:r>
          </w:p>
        </w:tc>
      </w:tr>
    </w:tbl>
    <w:p w:rsidR="009118F3" w:rsidP="00117F09">
      <w:pPr>
        <w:pStyle w:val="NoPaddingFontSize1"/>
      </w:pPr>
    </w:p>
    <w:p w:rsidR="009118F3" w:rsidP="00117F09">
      <w:pPr>
        <w:pStyle w:val="NoPaddingFontSize1"/>
      </w:pPr>
    </w:p>
    <w:p w:rsidR="00000000" w:rsidRPr="00117F09" w:rsidP="00117F09">
      <w:pPr>
        <w:pStyle w:val="Heading1"/>
      </w:pPr>
      <w:bookmarkStart w:id="9" w:name="O_1097846"/>
      <w:bookmarkEnd w:id="9"/>
      <w:r w:rsidRPr="00117F09">
        <w:t>Unit Mapping Info</w:t>
      </w:r>
      <w:r w:rsidRPr="00117F09">
        <w:t>rmation</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This unit supersedes and is equivalent to DEFEO004 Assess the safety and suitability for service of explosive ordnance.</w:t>
            </w:r>
          </w:p>
        </w:tc>
      </w:tr>
    </w:tbl>
    <w:p w:rsidR="009118F3" w:rsidP="00117F09">
      <w:pPr>
        <w:pStyle w:val="NoPaddingFontSize1"/>
      </w:pPr>
    </w:p>
    <w:p w:rsidR="009118F3" w:rsidP="00117F09">
      <w:pPr>
        <w:pStyle w:val="NoPaddingFontSize1"/>
      </w:pPr>
    </w:p>
    <w:p w:rsidR="00000000" w:rsidRPr="00117F09" w:rsidP="00117F09">
      <w:pPr>
        <w:pStyle w:val="Heading1"/>
      </w:pPr>
      <w:bookmarkStart w:id="10" w:name="O_1097851"/>
      <w:bookmarkEnd w:id="10"/>
      <w:r w:rsidRPr="00117F09">
        <w:t>Links</w:t>
      </w:r>
    </w:p>
    <w:p w:rsidR="00000000" w:rsidRPr="00117F09" w:rsidP="009118F3">
      <w:pPr>
        <w:pStyle w:val="BodyText"/>
      </w:pPr>
      <w:r w:rsidRPr="00117F0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6488">
        <w:rPr>
          <w:rStyle w:val="Hyperlink"/>
        </w:rPr>
        <w:t>https://vetnet.gov.au/Pages/TrainingDocs.aspx?q=6bdbab1e-11ed-4bc9-9cba-9e1a55d4e4a9</w:t>
      </w:r>
      <w:r>
        <w:fldChar w:fldCharType="end"/>
      </w:r>
    </w:p>
    <w:p w:rsidR="00000000" w:rsidRPr="00117F09" w:rsidP="009118F3">
      <w:pPr>
        <w:pStyle w:val="BodyText"/>
        <w:sectPr w:rsidSect="00117F09">
          <w:headerReference w:type="default" r:id="rId10"/>
          <w:footerReference w:type="default" r:id="rId11"/>
          <w:pgSz w:w="11908" w:h="16833"/>
          <w:pgMar w:top="1702" w:right="1418" w:bottom="1702" w:left="1418" w:header="992" w:footer="992" w:gutter="0"/>
          <w:cols w:space="720"/>
          <w:noEndnote/>
          <w:docGrid w:linePitch="299"/>
        </w:sectPr>
      </w:pPr>
    </w:p>
    <w:p w:rsidR="00000000" w:rsidRPr="00117F09" w:rsidP="00117F09">
      <w:pPr>
        <w:pStyle w:val="SuperHeading"/>
      </w:pPr>
      <w:r w:rsidRPr="00117F09">
        <w:t>Assessment Requirements for DEFEXO087 Assess the safety and sui</w:t>
      </w:r>
      <w:r w:rsidRPr="00117F09">
        <w:t>tability for service of explosives</w:t>
      </w:r>
    </w:p>
    <w:p w:rsidR="00000000" w:rsidRPr="00117F09" w:rsidP="00117F09">
      <w:pPr>
        <w:pStyle w:val="Heading1"/>
      </w:pPr>
      <w:bookmarkStart w:id="11" w:name="O_1097844"/>
      <w:bookmarkEnd w:id="11"/>
      <w:r w:rsidRPr="00117F09">
        <w:t>Modification History</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Release 2. Modifications made to Foundation Skills and Assessment Conditions.</w:t>
            </w:r>
          </w:p>
        </w:tc>
      </w:tr>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Release 1. This unit was release</w:t>
            </w:r>
            <w:r w:rsidRPr="00117F09">
              <w:t>d in DEF Defence Training Package release 1.0 and meets the Standards for Training Packages.</w:t>
            </w:r>
          </w:p>
          <w:p w:rsidR="00000000" w:rsidRPr="00117F09" w:rsidP="00117F09">
            <w:pPr>
              <w:pStyle w:val="BodyText"/>
            </w:pPr>
            <w:r w:rsidRPr="00117F09">
              <w:t>This unit supersedes and is equivalent to DEFEO004 Assess the safety and suitability for service of explosive ordnance.</w:t>
            </w:r>
          </w:p>
          <w:p w:rsidR="00000000" w:rsidRPr="00117F09" w:rsidP="00117F09">
            <w:pPr>
              <w:pStyle w:val="ListBullet"/>
            </w:pPr>
            <w:r w:rsidRPr="00117F09">
              <w:t>Unit code updated</w:t>
            </w:r>
          </w:p>
          <w:p w:rsidR="00000000" w:rsidRPr="00117F09" w:rsidP="00117F09">
            <w:pPr>
              <w:pStyle w:val="ListBullet"/>
            </w:pPr>
            <w:r w:rsidRPr="00117F09">
              <w:t>Content and formatting updated to comply with the new standards</w:t>
            </w:r>
          </w:p>
          <w:p w:rsidR="00000000" w:rsidRPr="00117F09" w:rsidP="00117F09">
            <w:pPr>
              <w:pStyle w:val="ListBullet"/>
            </w:pPr>
            <w:r w:rsidRPr="00117F09">
              <w:t>All PC transitioned from passive to active voice</w:t>
            </w:r>
          </w:p>
          <w:p w:rsidR="00000000" w:rsidRPr="00117F09" w:rsidP="00117F09">
            <w:pPr>
              <w:pStyle w:val="ListBullet"/>
            </w:pPr>
            <w:r w:rsidRPr="00117F09">
              <w:t>PC 1.1 and 3.1 reworded</w:t>
            </w:r>
          </w:p>
        </w:tc>
      </w:tr>
    </w:tbl>
    <w:p w:rsidR="009118F3" w:rsidP="00117F09">
      <w:pPr>
        <w:pStyle w:val="NoPaddingFontSize1"/>
      </w:pPr>
    </w:p>
    <w:p w:rsidR="009118F3" w:rsidP="00117F09">
      <w:pPr>
        <w:pStyle w:val="NoPaddingFontSize1"/>
      </w:pPr>
    </w:p>
    <w:p w:rsidR="00000000" w:rsidRPr="00117F09" w:rsidP="00117F09">
      <w:pPr>
        <w:pStyle w:val="Heading1"/>
      </w:pPr>
      <w:bookmarkStart w:id="12" w:name="O_1097843"/>
      <w:bookmarkEnd w:id="12"/>
      <w:r w:rsidRPr="00117F09">
        <w:t>Performance Evidence</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Evidence required to demonstrate competence in this unit must be relevant to</w:t>
            </w:r>
            <w:r w:rsidRPr="00117F09">
              <w:t xml:space="preserve"> and satisfy all of the requirements of the elements and performance criteria on at least one occasion and includes:</w:t>
            </w:r>
          </w:p>
        </w:tc>
      </w:tr>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ListBullet"/>
            </w:pPr>
            <w:r w:rsidRPr="00117F09">
              <w:t>accessing and preparing information electronically or in hard copy</w:t>
            </w:r>
          </w:p>
          <w:p w:rsidR="00000000" w:rsidRPr="00117F09" w:rsidP="00117F09">
            <w:pPr>
              <w:pStyle w:val="ListBullet"/>
            </w:pPr>
            <w:r w:rsidRPr="00117F09">
              <w:t>applying risk management techniques</w:t>
            </w:r>
          </w:p>
          <w:p w:rsidR="00000000" w:rsidRPr="00117F09" w:rsidP="00117F09">
            <w:pPr>
              <w:pStyle w:val="ListBullet"/>
            </w:pPr>
            <w:r w:rsidRPr="00117F09">
              <w:t>communicating with stakeholders using a range of communication styles to suit different audiences and purposes</w:t>
            </w:r>
          </w:p>
          <w:p w:rsidR="00000000" w:rsidRPr="00117F09" w:rsidP="00117F09">
            <w:pPr>
              <w:pStyle w:val="ListBullet"/>
            </w:pPr>
            <w:r w:rsidRPr="00117F09">
              <w:t>scheduling multiple agencies</w:t>
            </w:r>
          </w:p>
          <w:p w:rsidR="00000000" w:rsidRPr="00117F09" w:rsidP="00117F09">
            <w:pPr>
              <w:pStyle w:val="ListBullet"/>
            </w:pPr>
            <w:r w:rsidRPr="00117F09">
              <w:t>writing recommendations and preparing plans requiring precision of expression</w:t>
            </w:r>
          </w:p>
          <w:p w:rsidR="00000000" w:rsidRPr="00117F09" w:rsidP="00117F09">
            <w:pPr>
              <w:pStyle w:val="ListBullet"/>
            </w:pPr>
            <w:r w:rsidRPr="00117F09">
              <w:t>conducting hazard and design assessmen</w:t>
            </w:r>
            <w:r w:rsidRPr="00117F09">
              <w:t>ts</w:t>
            </w:r>
          </w:p>
          <w:p w:rsidR="00000000" w:rsidRPr="00117F09" w:rsidP="00117F09">
            <w:pPr>
              <w:pStyle w:val="ListBullet"/>
            </w:pPr>
            <w:r w:rsidRPr="00117F09">
              <w:t>determining the requirements for trials or testing</w:t>
            </w:r>
          </w:p>
          <w:p w:rsidR="00000000" w:rsidRPr="00117F09" w:rsidP="00117F09">
            <w:pPr>
              <w:pStyle w:val="ListBullet"/>
            </w:pPr>
            <w:r w:rsidRPr="00117F09">
              <w:t>defining and documenting the Manufacture to Disposal Sequence (MTDS)</w:t>
            </w:r>
          </w:p>
          <w:p w:rsidR="00000000" w:rsidRPr="00117F09" w:rsidP="00117F09">
            <w:pPr>
              <w:pStyle w:val="ListBullet"/>
            </w:pPr>
            <w:r w:rsidRPr="00117F09">
              <w:t>providing technical advice to authorities</w:t>
            </w:r>
          </w:p>
        </w:tc>
      </w:tr>
    </w:tbl>
    <w:p w:rsidR="009118F3" w:rsidP="00117F09">
      <w:pPr>
        <w:pStyle w:val="NoPaddingFontSize1"/>
      </w:pPr>
    </w:p>
    <w:p w:rsidR="009118F3" w:rsidP="00117F09">
      <w:pPr>
        <w:pStyle w:val="NoPaddingFontSize1"/>
      </w:pPr>
    </w:p>
    <w:p w:rsidR="00000000" w:rsidRPr="00117F09" w:rsidP="00117F09">
      <w:pPr>
        <w:pStyle w:val="Heading1"/>
      </w:pPr>
      <w:bookmarkStart w:id="13" w:name="O_1097842"/>
      <w:bookmarkEnd w:id="13"/>
      <w:r w:rsidRPr="00117F09">
        <w:t>Knowledge Evidence</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7F09">
            <w:pPr>
              <w:pStyle w:val="BodyText"/>
              <w:rPr>
                <w:lang w:val="en-NZ"/>
              </w:rPr>
            </w:pPr>
            <w:r w:rsidRPr="00117F09">
              <w:t>Evidence required to demonstrate competence in thi</w:t>
            </w:r>
            <w:r w:rsidRPr="00117F09">
              <w:t>s unit must be relevant to and satisfy all of the requirements of the elements and performance criteria and includes:</w:t>
            </w:r>
          </w:p>
        </w:tc>
      </w:tr>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ListBullet"/>
            </w:pPr>
            <w:r w:rsidRPr="00117F09">
              <w:t>Operational knowledge of:</w:t>
            </w:r>
          </w:p>
          <w:p w:rsidR="00000000" w:rsidRPr="00117F09" w:rsidP="00117F09">
            <w:pPr>
              <w:pStyle w:val="ListBullet2"/>
            </w:pPr>
            <w:r w:rsidRPr="00117F09">
              <w:t xml:space="preserve">integrated logistics support requirements for explosives </w:t>
            </w:r>
          </w:p>
          <w:p w:rsidR="00000000" w:rsidRPr="00117F09" w:rsidP="00117F09">
            <w:pPr>
              <w:pStyle w:val="ListBullet"/>
            </w:pPr>
            <w:r w:rsidRPr="00117F09">
              <w:t>In-depth knowledge of:</w:t>
            </w:r>
          </w:p>
          <w:p w:rsidR="00000000" w:rsidRPr="00117F09" w:rsidP="00117F09">
            <w:pPr>
              <w:pStyle w:val="ListBullet2"/>
            </w:pPr>
            <w:r w:rsidRPr="00117F09">
              <w:t>management tools suited to implementing safety and suitability for service evaluation processes</w:t>
            </w:r>
          </w:p>
          <w:p w:rsidR="00000000" w:rsidRPr="00117F09" w:rsidP="00117F09">
            <w:pPr>
              <w:pStyle w:val="ListBullet2"/>
            </w:pPr>
            <w:r w:rsidRPr="00117F09">
              <w:t>principles relating to the implementation of safety and suitability for service evaluation processes</w:t>
            </w:r>
          </w:p>
          <w:p w:rsidR="00000000" w:rsidRPr="00117F09" w:rsidP="00117F09">
            <w:pPr>
              <w:pStyle w:val="ListBullet2"/>
            </w:pPr>
            <w:r w:rsidRPr="00117F09">
              <w:t>explosive chemistry/physics/materials/design principles</w:t>
            </w:r>
          </w:p>
        </w:tc>
      </w:tr>
    </w:tbl>
    <w:p w:rsidR="009118F3" w:rsidP="00117F09">
      <w:pPr>
        <w:pStyle w:val="NoPaddingFontSize1"/>
      </w:pPr>
    </w:p>
    <w:p w:rsidR="009118F3" w:rsidP="00117F09">
      <w:pPr>
        <w:pStyle w:val="NoPaddingFontSize1"/>
      </w:pPr>
    </w:p>
    <w:p w:rsidR="00000000" w:rsidRPr="00117F09" w:rsidP="00117F09">
      <w:pPr>
        <w:pStyle w:val="Heading1"/>
      </w:pPr>
      <w:bookmarkStart w:id="14" w:name="O_1097841"/>
      <w:bookmarkEnd w:id="14"/>
      <w:r w:rsidRPr="00117F09">
        <w:t>Assessment Conditions</w:t>
      </w:r>
    </w:p>
    <w:tbl>
      <w:tblPr>
        <w:tblW w:w="9497" w:type="dxa"/>
        <w:tblLayout w:type="fixed"/>
        <w:tblCellMar>
          <w:left w:w="62" w:type="dxa"/>
          <w:right w:w="62" w:type="dxa"/>
        </w:tblCellMar>
        <w:tblLook w:val="0000"/>
      </w:tblPr>
      <w:tblGrid>
        <w:gridCol w:w="9497"/>
      </w:tblGrid>
      <w:tr w:rsidTr="00117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F09" w:rsidP="00117F09">
            <w:pPr>
              <w:pStyle w:val="BodyText"/>
            </w:pPr>
            <w:r w:rsidRPr="00117F09">
              <w:t>Assessors must hold credentials specified within the Standards for Registered Training Organisations current at the time of assessment.</w:t>
            </w:r>
          </w:p>
          <w:p w:rsidR="00000000" w:rsidRPr="00117F09" w:rsidP="00117F09">
            <w:pPr>
              <w:pStyle w:val="BodyText"/>
            </w:pPr>
            <w:r w:rsidRPr="00117F09">
              <w:t xml:space="preserve">Assessment must satisfy the Principles of Assessment and Rules of Evidence and </w:t>
            </w:r>
            <w:r w:rsidRPr="00117F09">
              <w:t>all regulatory requirements included within the Standards for Registered Training Organisations current at the time of assessment.</w:t>
            </w:r>
          </w:p>
          <w:p w:rsidR="00000000" w:rsidRPr="00117F09" w:rsidP="00117F09">
            <w:pPr>
              <w:pStyle w:val="BodyText"/>
            </w:pPr>
            <w:r w:rsidRPr="00117F09">
              <w:t xml:space="preserve">Assessment must occur in workplace operational situations. Where this is not appropriate, assessment must occur in simulated </w:t>
            </w:r>
            <w:r w:rsidRPr="00117F09">
              <w:t>workplace operational situations that reflect workplace conditions.</w:t>
            </w:r>
          </w:p>
          <w:p w:rsidR="00000000" w:rsidRPr="00117F09" w:rsidP="00117F09">
            <w:pPr>
              <w:pStyle w:val="BodyText"/>
            </w:pPr>
            <w:r w:rsidRPr="00117F09">
              <w:t>Assessment processes and techniques must be appropriate to the language, literacy and numeracy requirements of the work being performed and the needs of the candidate.</w:t>
            </w:r>
          </w:p>
          <w:p w:rsidR="00000000" w:rsidRPr="00117F09" w:rsidP="00117F09">
            <w:pPr>
              <w:pStyle w:val="BodyText"/>
            </w:pPr>
            <w:r w:rsidRPr="00117F09">
              <w:t>Resources for assess</w:t>
            </w:r>
            <w:r w:rsidRPr="00117F09">
              <w:t>ment must include access to:</w:t>
            </w:r>
          </w:p>
          <w:p w:rsidR="00000000" w:rsidRPr="00117F09" w:rsidP="00117F09">
            <w:pPr>
              <w:pStyle w:val="ListBullet"/>
            </w:pPr>
            <w:r w:rsidRPr="00117F09">
              <w:tab/>
              <w:t xml:space="preserve">a range of relevant exercises, case studies and/or simulations </w:t>
            </w:r>
          </w:p>
          <w:p w:rsidR="00000000" w:rsidRPr="00117F09" w:rsidP="00117F09">
            <w:pPr>
              <w:pStyle w:val="ListBullet"/>
            </w:pPr>
            <w:r w:rsidRPr="00117F09">
              <w:tab/>
              <w:t xml:space="preserve">acceptable means of simulation assessment </w:t>
            </w:r>
          </w:p>
          <w:p w:rsidR="00000000" w:rsidRPr="00117F09" w:rsidP="00117F09">
            <w:pPr>
              <w:pStyle w:val="ListBullet"/>
            </w:pPr>
            <w:r w:rsidRPr="00117F09">
              <w:tab/>
              <w:t xml:space="preserve">applicable documentation, including workplace procedures, regulations, codes of practice and operation manuals </w:t>
            </w:r>
          </w:p>
          <w:p w:rsidR="00000000" w:rsidRPr="00117F09" w:rsidP="00117F09">
            <w:pPr>
              <w:pStyle w:val="ListBullet"/>
            </w:pPr>
            <w:r w:rsidRPr="00117F09">
              <w:tab/>
            </w:r>
            <w:r w:rsidRPr="00117F09">
              <w:t>relevant materials, tools, equipment and PPE currently used in industry.</w:t>
            </w:r>
          </w:p>
        </w:tc>
      </w:tr>
    </w:tbl>
    <w:p w:rsidR="009118F3" w:rsidP="00117F09">
      <w:pPr>
        <w:pStyle w:val="NoPaddingFontSize1"/>
      </w:pPr>
    </w:p>
    <w:p w:rsidR="009118F3" w:rsidP="00117F09">
      <w:pPr>
        <w:pStyle w:val="NoPaddingFontSize1"/>
      </w:pPr>
    </w:p>
    <w:p w:rsidR="00000000" w:rsidRPr="00117F09" w:rsidP="00117F09">
      <w:pPr>
        <w:pStyle w:val="Heading1"/>
      </w:pPr>
      <w:bookmarkStart w:id="15" w:name="O_1097852"/>
      <w:bookmarkEnd w:id="15"/>
      <w:r w:rsidRPr="00117F09">
        <w:t>Links</w:t>
      </w:r>
    </w:p>
    <w:p w:rsidR="00000000" w:rsidRPr="00117F09" w:rsidP="009118F3">
      <w:pPr>
        <w:pStyle w:val="BodyText"/>
      </w:pPr>
      <w:r w:rsidRPr="00117F0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6488">
        <w:rPr>
          <w:rStyle w:val="Hyperlink"/>
        </w:rPr>
        <w:t>https://vetnet.gov.au/Pages/TrainingDocs.aspx?q=6bdbab1e-11ed-4bc9-9cba-9e1a55d4e4a9</w:t>
      </w:r>
      <w:r>
        <w:fldChar w:fldCharType="end"/>
      </w:r>
    </w:p>
    <w:p w:rsidR="00000000" w:rsidRPr="00117F09" w:rsidP="00117F09"/>
    <w:sectPr w:rsidSect="00117F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9" w:rsidRPr="009118F3" w:rsidP="00911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3" w:rsidP="00117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18F3" w:rsidP="00117F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118F3" w:rsidP="00117F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9" w:rsidP="00117F09">
    <w:pPr>
      <w:pStyle w:val="Footer"/>
      <w:framePr w:wrap="around"/>
    </w:pPr>
    <w:r>
      <w:fldChar w:fldCharType="begin"/>
    </w:r>
    <w:r>
      <w:instrText xml:space="preserve"> DOCPROPERTY  Subject  \* MERGEFORMAT </w:instrText>
    </w:r>
    <w:r>
      <w:fldChar w:fldCharType="separate"/>
    </w:r>
    <w:r w:rsidR="009118F3">
      <w:t>Approved</w:t>
    </w:r>
    <w:r w:rsidR="009118F3">
      <w:fldChar w:fldCharType="end"/>
    </w:r>
    <w:r>
      <w:tab/>
      <w:t xml:space="preserve">Page </w:t>
    </w:r>
    <w:r>
      <w:fldChar w:fldCharType="begin"/>
    </w:r>
    <w:r>
      <w:instrText xml:space="preserve"> PAGE  \* Arabic  \* MERGEFORMAT </w:instrText>
    </w:r>
    <w:r>
      <w:fldChar w:fldCharType="separate"/>
    </w:r>
    <w:r w:rsidR="009118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18F3">
      <w:rPr>
        <w:noProof/>
      </w:rPr>
      <w:t>5</w:t>
    </w:r>
    <w:r>
      <w:rPr>
        <w:noProof/>
      </w:rPr>
      <w:fldChar w:fldCharType="end"/>
    </w:r>
  </w:p>
  <w:p w:rsidR="00117F09" w:rsidP="00117F09">
    <w:pPr>
      <w:pStyle w:val="Footer"/>
      <w:framePr w:wrap="around"/>
    </w:pPr>
    <w:r>
      <w:t xml:space="preserve">© Commonwealth of Australia, </w:t>
    </w:r>
    <w:r>
      <w:fldChar w:fldCharType="begin"/>
    </w:r>
    <w:r>
      <w:instrText xml:space="preserve"> DATE  \@ "yyyy"  \* MERGEFORMAT </w:instrText>
    </w:r>
    <w:r>
      <w:fldChar w:fldCharType="separate"/>
    </w:r>
    <w:r w:rsidR="009118F3">
      <w:rPr>
        <w:noProof/>
      </w:rPr>
      <w:t>2025</w:t>
    </w:r>
    <w:r>
      <w:fldChar w:fldCharType="end"/>
    </w:r>
    <w:r>
      <w:tab/>
    </w:r>
    <w:r>
      <w:fldChar w:fldCharType="begin"/>
    </w:r>
    <w:r>
      <w:instrText xml:space="preserve"> DOCPROPERTY  Author  \* MERGEFORMAT </w:instrText>
    </w:r>
    <w:r>
      <w:fldChar w:fldCharType="separate"/>
    </w:r>
    <w:r w:rsidR="009118F3">
      <w:t>Public Skills Australia</w:t>
    </w:r>
    <w:r w:rsidR="009118F3">
      <w:fldChar w:fldCharType="end"/>
    </w:r>
  </w:p>
  <w:p w:rsidR="00117F09" w:rsidP="00117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F09" w:rsidRPr="009118F3" w:rsidP="00911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3" w:rsidRPr="002D2AF8" w:rsidP="00117F09">
    <w:pPr>
      <w:pStyle w:val="Header"/>
      <w:framePr w:wrap="around"/>
    </w:pPr>
    <w:r>
      <w:fldChar w:fldCharType="begin"/>
    </w:r>
    <w:r>
      <w:instrText xml:space="preserve"> TITLE   \* MERGEFORMAT </w:instrText>
    </w:r>
    <w:r>
      <w:fldChar w:fldCharType="separate"/>
    </w:r>
    <w:r>
      <w:t>DEFEXO087 Assess the safety and suitability for service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18F3" w:rsidP="00117F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9" w:rsidRPr="002D2AF8" w:rsidP="00117F09">
    <w:pPr>
      <w:pStyle w:val="Header"/>
      <w:framePr w:wrap="around"/>
    </w:pPr>
    <w:r>
      <w:fldChar w:fldCharType="begin"/>
    </w:r>
    <w:r>
      <w:instrText xml:space="preserve"> TITLE   \* MERGEFORMAT </w:instrText>
    </w:r>
    <w:r>
      <w:fldChar w:fldCharType="separate"/>
    </w:r>
    <w:r w:rsidR="009118F3">
      <w:t>DEFEXO087 Assess the safety and suitability for service of explosives</w:t>
    </w:r>
    <w:r w:rsidR="009118F3">
      <w:fldChar w:fldCharType="end"/>
    </w:r>
    <w:r>
      <w:tab/>
      <w:t xml:space="preserve">Date this document was generated: </w:t>
    </w:r>
    <w:r>
      <w:fldChar w:fldCharType="begin"/>
    </w:r>
    <w:r>
      <w:instrText xml:space="preserve"> CREATEDATE  \@ "d MMMM yyyy"  \* MERGEFORMAT </w:instrText>
    </w:r>
    <w:r>
      <w:fldChar w:fldCharType="separate"/>
    </w:r>
    <w:r w:rsidR="009118F3">
      <w:rPr>
        <w:noProof/>
      </w:rPr>
      <w:t>2 March 2025</w:t>
    </w:r>
    <w:r>
      <w:fldChar w:fldCharType="end"/>
    </w:r>
  </w:p>
  <w:p w:rsidR="00117F09" w:rsidP="00117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27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AE1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4E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F09"/>
    <w:pPr>
      <w:spacing w:before="360" w:after="60"/>
      <w:outlineLvl w:val="0"/>
    </w:pPr>
    <w:rPr>
      <w:sz w:val="32"/>
    </w:rPr>
  </w:style>
  <w:style w:type="paragraph" w:styleId="Heading2">
    <w:name w:val="heading 2"/>
    <w:basedOn w:val="HeadingBase"/>
    <w:next w:val="BodyText"/>
    <w:link w:val="Heading2Char"/>
    <w:qFormat/>
    <w:rsid w:val="00117F09"/>
    <w:pPr>
      <w:keepLines/>
      <w:spacing w:before="240" w:after="120"/>
      <w:outlineLvl w:val="1"/>
    </w:pPr>
    <w:rPr>
      <w:sz w:val="28"/>
      <w:szCs w:val="40"/>
    </w:rPr>
  </w:style>
  <w:style w:type="paragraph" w:styleId="Heading3">
    <w:name w:val="heading 3"/>
    <w:basedOn w:val="HeadingBase"/>
    <w:next w:val="BodyText"/>
    <w:link w:val="Heading3Char"/>
    <w:qFormat/>
    <w:rsid w:val="00117F09"/>
    <w:pPr>
      <w:spacing w:before="180" w:after="120"/>
      <w:outlineLvl w:val="2"/>
    </w:pPr>
    <w:rPr>
      <w:spacing w:val="-10"/>
      <w:kern w:val="32"/>
    </w:rPr>
  </w:style>
  <w:style w:type="paragraph" w:styleId="Heading4">
    <w:name w:val="heading 4"/>
    <w:basedOn w:val="HeadingBase"/>
    <w:next w:val="BodyText"/>
    <w:link w:val="Heading4Char"/>
    <w:qFormat/>
    <w:rsid w:val="00117F09"/>
    <w:pPr>
      <w:spacing w:before="160" w:after="120"/>
      <w:outlineLvl w:val="3"/>
    </w:pPr>
    <w:rPr>
      <w:sz w:val="22"/>
    </w:rPr>
  </w:style>
  <w:style w:type="paragraph" w:styleId="Heading5">
    <w:name w:val="heading 5"/>
    <w:basedOn w:val="HeadingBase"/>
    <w:next w:val="Normal"/>
    <w:link w:val="Heading5Char"/>
    <w:qFormat/>
    <w:rsid w:val="00117F09"/>
    <w:pPr>
      <w:spacing w:before="80"/>
      <w:outlineLvl w:val="4"/>
    </w:pPr>
    <w:rPr>
      <w:color w:val="918585"/>
      <w:sz w:val="20"/>
    </w:rPr>
  </w:style>
  <w:style w:type="paragraph" w:styleId="Heading6">
    <w:name w:val="heading 6"/>
    <w:basedOn w:val="HeadingBase"/>
    <w:next w:val="Normal"/>
    <w:link w:val="Heading6Char"/>
    <w:qFormat/>
    <w:rsid w:val="00117F09"/>
    <w:pPr>
      <w:spacing w:before="60"/>
      <w:outlineLvl w:val="5"/>
    </w:pPr>
    <w:rPr>
      <w:color w:val="918585"/>
      <w:sz w:val="20"/>
    </w:rPr>
  </w:style>
  <w:style w:type="paragraph" w:styleId="Heading7">
    <w:name w:val="heading 7"/>
    <w:basedOn w:val="Normal"/>
    <w:next w:val="Normal"/>
    <w:link w:val="Heading7Char"/>
    <w:qFormat/>
    <w:rsid w:val="00117F09"/>
    <w:pPr>
      <w:ind w:left="720"/>
      <w:outlineLvl w:val="6"/>
    </w:pPr>
    <w:rPr>
      <w:i/>
    </w:rPr>
  </w:style>
  <w:style w:type="paragraph" w:styleId="Heading8">
    <w:name w:val="heading 8"/>
    <w:basedOn w:val="Normal"/>
    <w:next w:val="Normal"/>
    <w:link w:val="Heading8Char"/>
    <w:qFormat/>
    <w:rsid w:val="00117F09"/>
    <w:pPr>
      <w:ind w:left="720"/>
      <w:outlineLvl w:val="7"/>
    </w:pPr>
    <w:rPr>
      <w:i/>
    </w:rPr>
  </w:style>
  <w:style w:type="paragraph" w:styleId="Heading9">
    <w:name w:val="heading 9"/>
    <w:basedOn w:val="Normal"/>
    <w:next w:val="Normal"/>
    <w:link w:val="Heading9Char"/>
    <w:qFormat/>
    <w:rsid w:val="00117F09"/>
    <w:pPr>
      <w:ind w:left="720"/>
      <w:outlineLvl w:val="8"/>
    </w:pPr>
    <w:rPr>
      <w:i/>
    </w:rPr>
  </w:style>
  <w:style w:type="character" w:default="1" w:styleId="DefaultParagraphFont">
    <w:name w:val="Default Paragraph Font"/>
    <w:uiPriority w:val="1"/>
    <w:unhideWhenUsed/>
    <w:rsid w:val="00117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F09"/>
  </w:style>
  <w:style w:type="character" w:customStyle="1" w:styleId="Heading1Char">
    <w:name w:val="Heading 1 Char"/>
    <w:basedOn w:val="DefaultParagraphFont"/>
    <w:link w:val="Heading1"/>
    <w:rsid w:val="00117F09"/>
    <w:rPr>
      <w:rFonts w:ascii="Times New Roman" w:eastAsia="Times New Roman" w:hAnsi="Times New Roman" w:cs="Times New Roman"/>
      <w:b/>
      <w:sz w:val="32"/>
      <w:szCs w:val="20"/>
      <w:lang w:eastAsia="en-US"/>
    </w:rPr>
  </w:style>
  <w:style w:type="paragraph" w:styleId="BodyText">
    <w:name w:val="Body Text"/>
    <w:basedOn w:val="Normal"/>
    <w:link w:val="BodyTextChar"/>
    <w:rsid w:val="00117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F09"/>
    <w:rPr>
      <w:rFonts w:ascii="Times New Roman" w:eastAsia="Times New Roman" w:hAnsi="Times New Roman" w:cs="Times New Roman"/>
      <w:sz w:val="24"/>
      <w:lang w:eastAsia="en-US"/>
    </w:rPr>
  </w:style>
  <w:style w:type="paragraph" w:styleId="ListBullet">
    <w:name w:val="List Bullet"/>
    <w:basedOn w:val="List"/>
    <w:rsid w:val="00117F09"/>
    <w:pPr>
      <w:numPr>
        <w:numId w:val="12"/>
      </w:numPr>
      <w:tabs>
        <w:tab w:val="clear" w:pos="340"/>
      </w:tabs>
      <w:spacing w:before="40" w:after="40"/>
    </w:pPr>
  </w:style>
  <w:style w:type="character" w:customStyle="1" w:styleId="SpecialBold">
    <w:name w:val="Special Bold"/>
    <w:basedOn w:val="DefaultParagraphFont"/>
    <w:rsid w:val="00117F09"/>
    <w:rPr>
      <w:b/>
      <w:spacing w:val="0"/>
    </w:rPr>
  </w:style>
  <w:style w:type="paragraph" w:styleId="ListBullet2">
    <w:name w:val="List Bullet 2"/>
    <w:basedOn w:val="List2"/>
    <w:rsid w:val="00117F09"/>
    <w:pPr>
      <w:numPr>
        <w:numId w:val="13"/>
      </w:numPr>
      <w:tabs>
        <w:tab w:val="clear" w:pos="680"/>
      </w:tabs>
    </w:pPr>
  </w:style>
  <w:style w:type="paragraph" w:customStyle="1" w:styleId="SuperHeading">
    <w:name w:val="SuperHeading"/>
    <w:basedOn w:val="Normal"/>
    <w:rsid w:val="00117F09"/>
    <w:pPr>
      <w:spacing w:before="240" w:after="120"/>
      <w:outlineLvl w:val="0"/>
    </w:pPr>
    <w:rPr>
      <w:rFonts w:ascii="Times New Roman" w:hAnsi="Times New Roman"/>
      <w:b/>
      <w:sz w:val="32"/>
    </w:rPr>
  </w:style>
  <w:style w:type="paragraph" w:customStyle="1" w:styleId="AllowPageBreak">
    <w:name w:val="AllowPageBreak"/>
    <w:rsid w:val="00117F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7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F09"/>
    <w:rPr>
      <w:rFonts w:ascii="Courier New" w:eastAsia="Times New Roman" w:hAnsi="Courier New" w:cs="Times New Roman"/>
      <w:i/>
      <w:szCs w:val="20"/>
      <w:lang w:eastAsia="en-US"/>
    </w:rPr>
  </w:style>
  <w:style w:type="paragraph" w:customStyle="1" w:styleId="HeadingBase">
    <w:name w:val="Heading Base"/>
    <w:rsid w:val="00117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F09"/>
    <w:pPr>
      <w:tabs>
        <w:tab w:val="right" w:leader="dot" w:pos="9072"/>
      </w:tabs>
      <w:ind w:left="567"/>
    </w:pPr>
    <w:rPr>
      <w:szCs w:val="22"/>
    </w:rPr>
  </w:style>
  <w:style w:type="paragraph" w:customStyle="1" w:styleId="TOCBase">
    <w:name w:val="TOC Base"/>
    <w:rsid w:val="00117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F09"/>
    <w:pPr>
      <w:tabs>
        <w:tab w:val="right" w:leader="dot" w:pos="9072"/>
      </w:tabs>
      <w:spacing w:before="40" w:after="40"/>
      <w:ind w:left="284"/>
    </w:pPr>
    <w:rPr>
      <w:rFonts w:ascii="Times New Roman" w:hAnsi="Times New Roman"/>
    </w:rPr>
  </w:style>
  <w:style w:type="paragraph" w:styleId="TOC1">
    <w:name w:val="toc 1"/>
    <w:basedOn w:val="TOCBase"/>
    <w:next w:val="Normal"/>
    <w:rsid w:val="00117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F09"/>
    <w:rPr>
      <w:rFonts w:ascii="Times New Roman" w:eastAsia="Times New Roman" w:hAnsi="Times New Roman" w:cs="Times New Roman"/>
      <w:sz w:val="16"/>
      <w:lang w:eastAsia="en-US"/>
    </w:rPr>
  </w:style>
  <w:style w:type="paragraph" w:styleId="Title">
    <w:name w:val="Title"/>
    <w:basedOn w:val="HeadingBase"/>
    <w:link w:val="TitleChar"/>
    <w:qFormat/>
    <w:rsid w:val="00117F09"/>
    <w:pPr>
      <w:spacing w:before="5040"/>
      <w:jc w:val="center"/>
    </w:pPr>
    <w:rPr>
      <w:sz w:val="48"/>
      <w:szCs w:val="72"/>
      <w:lang w:val="en-US"/>
    </w:rPr>
  </w:style>
  <w:style w:type="character" w:customStyle="1" w:styleId="TitleChar">
    <w:name w:val="Title Char"/>
    <w:basedOn w:val="DefaultParagraphFont"/>
    <w:link w:val="Title"/>
    <w:rsid w:val="00117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F09"/>
    <w:pPr>
      <w:tabs>
        <w:tab w:val="left" w:pos="3600"/>
        <w:tab w:val="left" w:pos="3958"/>
      </w:tabs>
    </w:pPr>
  </w:style>
  <w:style w:type="paragraph" w:styleId="List">
    <w:name w:val="List"/>
    <w:basedOn w:val="BodyText"/>
    <w:next w:val="BodyText"/>
    <w:rsid w:val="00117F09"/>
    <w:pPr>
      <w:tabs>
        <w:tab w:val="left" w:pos="340"/>
      </w:tabs>
      <w:spacing w:before="60" w:after="60"/>
      <w:ind w:left="340" w:hanging="340"/>
    </w:pPr>
  </w:style>
  <w:style w:type="paragraph" w:customStyle="1" w:styleId="Note">
    <w:name w:val="Note"/>
    <w:basedOn w:val="BodyText"/>
    <w:rsid w:val="00117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F09"/>
    <w:pPr>
      <w:framePr w:wrap="auto" w:hAnchor="text" w:y="6049"/>
    </w:pPr>
    <w:rPr>
      <w:color w:val="000000"/>
      <w:sz w:val="40"/>
    </w:rPr>
  </w:style>
  <w:style w:type="paragraph" w:customStyle="1" w:styleId="TOCTitle">
    <w:name w:val="TOCTitle"/>
    <w:basedOn w:val="Heading1"/>
    <w:rsid w:val="00117F09"/>
    <w:pPr>
      <w:spacing w:after="240"/>
      <w:jc w:val="center"/>
      <w:outlineLvl w:val="9"/>
    </w:pPr>
    <w:rPr>
      <w:caps/>
    </w:rPr>
  </w:style>
  <w:style w:type="paragraph" w:customStyle="1" w:styleId="Version">
    <w:name w:val="Version"/>
    <w:rsid w:val="00117F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F09"/>
    <w:pPr>
      <w:keepNext w:val="0"/>
      <w:tabs>
        <w:tab w:val="right" w:pos="4176"/>
      </w:tabs>
      <w:ind w:left="198" w:hanging="198"/>
    </w:pPr>
    <w:rPr>
      <w:rFonts w:ascii="Garamond" w:hAnsi="Garamond"/>
    </w:rPr>
  </w:style>
  <w:style w:type="paragraph" w:styleId="IndexHeading">
    <w:name w:val="index heading"/>
    <w:basedOn w:val="Normal"/>
    <w:next w:val="Index1"/>
    <w:semiHidden/>
    <w:rsid w:val="00117F09"/>
    <w:pPr>
      <w:spacing w:before="120" w:after="120"/>
    </w:pPr>
    <w:rPr>
      <w:rFonts w:ascii="Arial" w:hAnsi="Arial"/>
      <w:b/>
      <w:color w:val="918585"/>
      <w:sz w:val="24"/>
    </w:rPr>
  </w:style>
  <w:style w:type="paragraph" w:styleId="Header">
    <w:name w:val="header"/>
    <w:basedOn w:val="Normal"/>
    <w:link w:val="HeaderChar"/>
    <w:rsid w:val="00117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F09"/>
    <w:rPr>
      <w:rFonts w:ascii="Times New Roman" w:eastAsia="Times New Roman" w:hAnsi="Times New Roman" w:cs="Times New Roman"/>
      <w:sz w:val="16"/>
      <w:szCs w:val="20"/>
      <w:lang w:val="en-GB" w:eastAsia="en-US"/>
    </w:rPr>
  </w:style>
  <w:style w:type="paragraph" w:customStyle="1" w:styleId="Chapter">
    <w:name w:val="Chapter"/>
    <w:basedOn w:val="Normal"/>
    <w:rsid w:val="00117F09"/>
    <w:pPr>
      <w:spacing w:before="240"/>
    </w:pPr>
    <w:rPr>
      <w:rFonts w:ascii="Times New Roman" w:hAnsi="Times New Roman"/>
      <w:smallCaps/>
      <w:spacing w:val="80"/>
      <w:sz w:val="28"/>
    </w:rPr>
  </w:style>
  <w:style w:type="paragraph" w:customStyle="1" w:styleId="InChapter">
    <w:name w:val="InChapter"/>
    <w:basedOn w:val="Heading3"/>
    <w:rsid w:val="00117F09"/>
    <w:pPr>
      <w:spacing w:after="240"/>
      <w:outlineLvl w:val="9"/>
    </w:pPr>
    <w:rPr>
      <w:noProof/>
    </w:rPr>
  </w:style>
  <w:style w:type="paragraph" w:styleId="Index2">
    <w:name w:val="index 2"/>
    <w:basedOn w:val="Normal"/>
    <w:next w:val="Normal"/>
    <w:semiHidden/>
    <w:rsid w:val="00117F09"/>
    <w:pPr>
      <w:tabs>
        <w:tab w:val="right" w:pos="4176"/>
      </w:tabs>
      <w:ind w:left="568" w:hanging="284"/>
    </w:pPr>
    <w:rPr>
      <w:rFonts w:ascii="Garamond" w:hAnsi="Garamond"/>
    </w:rPr>
  </w:style>
  <w:style w:type="paragraph" w:customStyle="1" w:styleId="Byline">
    <w:name w:val="Byline"/>
    <w:rsid w:val="00117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F09"/>
    <w:pPr>
      <w:tabs>
        <w:tab w:val="clear" w:pos="3600"/>
        <w:tab w:val="clear" w:pos="3958"/>
      </w:tabs>
      <w:jc w:val="right"/>
    </w:pPr>
  </w:style>
  <w:style w:type="character" w:styleId="Emphasis">
    <w:name w:val="Emphasis"/>
    <w:basedOn w:val="DefaultParagraphFont"/>
    <w:qFormat/>
    <w:rsid w:val="00117F09"/>
    <w:rPr>
      <w:i/>
    </w:rPr>
  </w:style>
  <w:style w:type="paragraph" w:styleId="Caption">
    <w:name w:val="caption"/>
    <w:basedOn w:val="BodyText"/>
    <w:next w:val="Normal"/>
    <w:qFormat/>
    <w:rsid w:val="00117F09"/>
    <w:pPr>
      <w:framePr w:w="2268" w:hSpace="181" w:vSpace="181" w:wrap="around" w:vAnchor="text" w:hAnchor="page" w:x="1135" w:y="285" w:anchorLock="1"/>
    </w:pPr>
    <w:rPr>
      <w:i/>
    </w:rPr>
  </w:style>
  <w:style w:type="paragraph" w:customStyle="1" w:styleId="MiniTOCTitle">
    <w:name w:val="MiniTOCTitle"/>
    <w:basedOn w:val="Heading4"/>
    <w:rsid w:val="00117F09"/>
    <w:pPr>
      <w:spacing w:before="240"/>
      <w:outlineLvl w:val="9"/>
    </w:pPr>
    <w:rPr>
      <w:noProof/>
      <w:sz w:val="24"/>
    </w:rPr>
  </w:style>
  <w:style w:type="paragraph" w:customStyle="1" w:styleId="MiniTOCItem">
    <w:name w:val="MiniTOCItem"/>
    <w:basedOn w:val="ListBullet"/>
    <w:rsid w:val="00117F09"/>
    <w:pPr>
      <w:numPr>
        <w:numId w:val="0"/>
      </w:numPr>
      <w:tabs>
        <w:tab w:val="right" w:leader="dot" w:pos="6521"/>
      </w:tabs>
      <w:spacing w:before="0" w:after="0"/>
    </w:pPr>
  </w:style>
  <w:style w:type="paragraph" w:customStyle="1" w:styleId="TOFTitle">
    <w:name w:val="TOFTitle"/>
    <w:basedOn w:val="TOCTitle"/>
    <w:rsid w:val="00117F09"/>
  </w:style>
  <w:style w:type="paragraph" w:styleId="TableofFigures">
    <w:name w:val="table of figures"/>
    <w:basedOn w:val="Normal"/>
    <w:next w:val="Normal"/>
    <w:semiHidden/>
    <w:rsid w:val="00117F09"/>
    <w:pPr>
      <w:tabs>
        <w:tab w:val="right" w:leader="dot" w:pos="9072"/>
      </w:tabs>
      <w:ind w:left="970" w:hanging="403"/>
    </w:pPr>
    <w:rPr>
      <w:rFonts w:ascii="Times New Roman" w:hAnsi="Times New Roman"/>
      <w:b/>
    </w:rPr>
  </w:style>
  <w:style w:type="paragraph" w:styleId="ListNumber">
    <w:name w:val="List Number"/>
    <w:basedOn w:val="List"/>
    <w:rsid w:val="00117F09"/>
    <w:pPr>
      <w:numPr>
        <w:numId w:val="15"/>
      </w:numPr>
      <w:tabs>
        <w:tab w:val="clear" w:pos="340"/>
      </w:tabs>
    </w:pPr>
  </w:style>
  <w:style w:type="character" w:customStyle="1" w:styleId="WingdingSymbols">
    <w:name w:val="Wingding Symbols"/>
    <w:rsid w:val="00117F09"/>
    <w:rPr>
      <w:rFonts w:ascii="Wingdings" w:hAnsi="Wingdings"/>
    </w:rPr>
  </w:style>
  <w:style w:type="paragraph" w:customStyle="1" w:styleId="TableHeading">
    <w:name w:val="Table Heading"/>
    <w:basedOn w:val="HeadingBase"/>
    <w:rsid w:val="00117F09"/>
    <w:pPr>
      <w:keepLines/>
      <w:pBdr>
        <w:bottom w:val="single" w:sz="6" w:space="1" w:color="918585"/>
      </w:pBdr>
      <w:spacing w:before="240"/>
    </w:pPr>
  </w:style>
  <w:style w:type="character" w:customStyle="1" w:styleId="HotSpot">
    <w:name w:val="HotSpot"/>
    <w:rsid w:val="00117F09"/>
    <w:rPr>
      <w:color w:val="0033CC"/>
      <w:u w:val="none"/>
    </w:rPr>
  </w:style>
  <w:style w:type="paragraph" w:customStyle="1" w:styleId="BodyTextRight">
    <w:name w:val="Body Text Right"/>
    <w:basedOn w:val="BodyText"/>
    <w:rsid w:val="00117F09"/>
    <w:pPr>
      <w:spacing w:before="0" w:after="0"/>
      <w:jc w:val="right"/>
    </w:pPr>
  </w:style>
  <w:style w:type="paragraph" w:styleId="Index3">
    <w:name w:val="index 3"/>
    <w:basedOn w:val="ListNumber2"/>
    <w:next w:val="Normal"/>
    <w:semiHidden/>
    <w:rsid w:val="00117F09"/>
    <w:pPr>
      <w:numPr>
        <w:numId w:val="0"/>
      </w:numPr>
      <w:tabs>
        <w:tab w:val="right" w:leader="dot" w:pos="4176"/>
      </w:tabs>
    </w:pPr>
  </w:style>
  <w:style w:type="paragraph" w:styleId="ListNumber2">
    <w:name w:val="List Number 2"/>
    <w:basedOn w:val="List2"/>
    <w:rsid w:val="00117F09"/>
    <w:pPr>
      <w:numPr>
        <w:numId w:val="10"/>
      </w:numPr>
      <w:tabs>
        <w:tab w:val="clear" w:pos="1060"/>
      </w:tabs>
    </w:pPr>
  </w:style>
  <w:style w:type="paragraph" w:customStyle="1" w:styleId="MarginNote">
    <w:name w:val="Margin Note"/>
    <w:basedOn w:val="BodyText"/>
    <w:rsid w:val="00117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F09"/>
    <w:rPr>
      <w:sz w:val="32"/>
    </w:rPr>
  </w:style>
  <w:style w:type="paragraph" w:customStyle="1" w:styleId="HeadingProcedure">
    <w:name w:val="Heading Procedure"/>
    <w:basedOn w:val="HeadingBase"/>
    <w:next w:val="Normal"/>
    <w:rsid w:val="00117F09"/>
    <w:pPr>
      <w:tabs>
        <w:tab w:val="left" w:pos="0"/>
      </w:tabs>
      <w:spacing w:before="120" w:after="60"/>
    </w:pPr>
    <w:rPr>
      <w:i/>
      <w:color w:val="918585"/>
      <w:sz w:val="22"/>
    </w:rPr>
  </w:style>
  <w:style w:type="paragraph" w:customStyle="1" w:styleId="TableBodyText">
    <w:name w:val="Table Body Text"/>
    <w:basedOn w:val="BodyText"/>
    <w:rsid w:val="00117F09"/>
    <w:pPr>
      <w:spacing w:before="60" w:after="60"/>
    </w:pPr>
  </w:style>
  <w:style w:type="paragraph" w:styleId="ListContinue">
    <w:name w:val="List Continue"/>
    <w:basedOn w:val="List"/>
    <w:rsid w:val="00117F09"/>
    <w:pPr>
      <w:ind w:firstLine="0"/>
    </w:pPr>
  </w:style>
  <w:style w:type="paragraph" w:customStyle="1" w:styleId="ListNote">
    <w:name w:val="List Note"/>
    <w:basedOn w:val="List"/>
    <w:rsid w:val="00117F09"/>
    <w:pPr>
      <w:pBdr>
        <w:top w:val="single" w:sz="6" w:space="2" w:color="918585"/>
        <w:bottom w:val="single" w:sz="6" w:space="2" w:color="918585"/>
      </w:pBdr>
      <w:tabs>
        <w:tab w:val="left" w:pos="1021"/>
      </w:tabs>
      <w:ind w:firstLine="0"/>
    </w:pPr>
  </w:style>
  <w:style w:type="paragraph" w:customStyle="1" w:styleId="Warning">
    <w:name w:val="Warning"/>
    <w:basedOn w:val="BodyText"/>
    <w:rsid w:val="00117F09"/>
    <w:pPr>
      <w:shd w:val="clear" w:color="auto" w:fill="D9D9D9"/>
      <w:tabs>
        <w:tab w:val="left" w:pos="992"/>
      </w:tabs>
      <w:ind w:left="119" w:right="119"/>
    </w:pPr>
    <w:rPr>
      <w:sz w:val="20"/>
    </w:rPr>
  </w:style>
  <w:style w:type="paragraph" w:customStyle="1" w:styleId="MarginIcons">
    <w:name w:val="Margin Icons"/>
    <w:basedOn w:val="BodyText"/>
    <w:rsid w:val="00117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F09"/>
    <w:rPr>
      <w:rFonts w:ascii="Courier New" w:hAnsi="Courier New"/>
    </w:rPr>
  </w:style>
  <w:style w:type="paragraph" w:customStyle="1" w:styleId="NoteBullet">
    <w:name w:val="Note Bullet"/>
    <w:basedOn w:val="Note"/>
    <w:rsid w:val="00117F09"/>
    <w:pPr>
      <w:tabs>
        <w:tab w:val="clear" w:pos="680"/>
      </w:tabs>
      <w:spacing w:before="60" w:after="60"/>
    </w:pPr>
  </w:style>
  <w:style w:type="paragraph" w:customStyle="1" w:styleId="SubHeading2">
    <w:name w:val="SubHeading2"/>
    <w:basedOn w:val="HeadingBase"/>
    <w:rsid w:val="00117F09"/>
    <w:pPr>
      <w:spacing w:before="240" w:after="60"/>
    </w:pPr>
    <w:rPr>
      <w:sz w:val="20"/>
    </w:rPr>
  </w:style>
  <w:style w:type="paragraph" w:customStyle="1" w:styleId="SubHeading1">
    <w:name w:val="SubHeading1"/>
    <w:basedOn w:val="HeadingBase"/>
    <w:rsid w:val="00117F09"/>
    <w:pPr>
      <w:spacing w:before="240" w:after="60"/>
    </w:pPr>
    <w:rPr>
      <w:color w:val="918585"/>
      <w:sz w:val="22"/>
    </w:rPr>
  </w:style>
  <w:style w:type="paragraph" w:customStyle="1" w:styleId="SideHeading">
    <w:name w:val="Side Heading"/>
    <w:basedOn w:val="HeadingBase"/>
    <w:rsid w:val="00117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F09"/>
    <w:pPr>
      <w:tabs>
        <w:tab w:val="num" w:pos="360"/>
      </w:tabs>
    </w:pPr>
  </w:style>
  <w:style w:type="paragraph" w:styleId="PlainText">
    <w:name w:val="Plain Text"/>
    <w:basedOn w:val="Normal"/>
    <w:link w:val="PlainTextChar"/>
    <w:rsid w:val="00117F09"/>
    <w:rPr>
      <w:sz w:val="20"/>
    </w:rPr>
  </w:style>
  <w:style w:type="character" w:customStyle="1" w:styleId="PlainTextChar">
    <w:name w:val="Plain Text Char"/>
    <w:basedOn w:val="DefaultParagraphFont"/>
    <w:link w:val="PlainText"/>
    <w:rsid w:val="00117F09"/>
    <w:rPr>
      <w:rFonts w:ascii="Courier New" w:eastAsia="Times New Roman" w:hAnsi="Courier New" w:cs="Times New Roman"/>
      <w:sz w:val="20"/>
      <w:szCs w:val="20"/>
      <w:lang w:eastAsia="en-US"/>
    </w:rPr>
  </w:style>
  <w:style w:type="character" w:customStyle="1" w:styleId="MenuOption">
    <w:name w:val="Menu Option"/>
    <w:basedOn w:val="DefaultParagraphFont"/>
    <w:rsid w:val="00117F09"/>
    <w:rPr>
      <w:b/>
      <w:smallCaps/>
    </w:rPr>
  </w:style>
  <w:style w:type="paragraph" w:customStyle="1" w:styleId="TableListNumber">
    <w:name w:val="Table List Number"/>
    <w:basedOn w:val="ListNumber"/>
    <w:rsid w:val="00117F09"/>
    <w:pPr>
      <w:numPr>
        <w:numId w:val="0"/>
      </w:numPr>
    </w:pPr>
  </w:style>
  <w:style w:type="paragraph" w:styleId="TOC4">
    <w:name w:val="toc 4"/>
    <w:basedOn w:val="TOCBase"/>
    <w:next w:val="Normal"/>
    <w:semiHidden/>
    <w:rsid w:val="00117F09"/>
    <w:pPr>
      <w:tabs>
        <w:tab w:val="right" w:leader="dot" w:pos="9071"/>
      </w:tabs>
      <w:ind w:left="1701"/>
    </w:pPr>
  </w:style>
  <w:style w:type="paragraph" w:customStyle="1" w:styleId="ListAlpha">
    <w:name w:val="List Alpha"/>
    <w:basedOn w:val="List"/>
    <w:rsid w:val="00117F09"/>
    <w:pPr>
      <w:numPr>
        <w:numId w:val="9"/>
      </w:numPr>
    </w:pPr>
  </w:style>
  <w:style w:type="paragraph" w:customStyle="1" w:styleId="ListAlpha2">
    <w:name w:val="List Alpha 2"/>
    <w:basedOn w:val="List2"/>
    <w:rsid w:val="00117F09"/>
    <w:pPr>
      <w:numPr>
        <w:numId w:val="8"/>
      </w:numPr>
    </w:pPr>
  </w:style>
  <w:style w:type="paragraph" w:styleId="List2">
    <w:name w:val="List 2"/>
    <w:basedOn w:val="BodyText"/>
    <w:rsid w:val="00117F09"/>
    <w:pPr>
      <w:tabs>
        <w:tab w:val="left" w:pos="680"/>
      </w:tabs>
      <w:spacing w:before="60" w:after="60"/>
      <w:ind w:left="680" w:hanging="340"/>
    </w:pPr>
  </w:style>
  <w:style w:type="paragraph" w:styleId="List3">
    <w:name w:val="List 3"/>
    <w:basedOn w:val="BodyText"/>
    <w:rsid w:val="00117F09"/>
    <w:pPr>
      <w:tabs>
        <w:tab w:val="left" w:pos="1021"/>
      </w:tabs>
      <w:spacing w:before="60" w:after="60"/>
      <w:ind w:left="1020" w:hanging="340"/>
    </w:pPr>
  </w:style>
  <w:style w:type="paragraph" w:styleId="List4">
    <w:name w:val="List 4"/>
    <w:basedOn w:val="BodyText"/>
    <w:rsid w:val="00117F09"/>
    <w:pPr>
      <w:tabs>
        <w:tab w:val="left" w:pos="1361"/>
      </w:tabs>
      <w:spacing w:before="60" w:after="60"/>
      <w:ind w:left="1361" w:hanging="340"/>
    </w:pPr>
  </w:style>
  <w:style w:type="paragraph" w:styleId="List5">
    <w:name w:val="List 5"/>
    <w:basedOn w:val="BodyText"/>
    <w:rsid w:val="00117F09"/>
    <w:pPr>
      <w:tabs>
        <w:tab w:val="left" w:pos="1701"/>
      </w:tabs>
      <w:spacing w:before="60" w:after="60"/>
      <w:ind w:left="1701" w:hanging="340"/>
    </w:pPr>
  </w:style>
  <w:style w:type="paragraph" w:styleId="ListBullet3">
    <w:name w:val="List Bullet 3"/>
    <w:basedOn w:val="List3"/>
    <w:rsid w:val="00117F09"/>
    <w:pPr>
      <w:numPr>
        <w:numId w:val="14"/>
      </w:numPr>
      <w:tabs>
        <w:tab w:val="clear" w:pos="1021"/>
      </w:tabs>
      <w:ind w:left="1037" w:hanging="357"/>
    </w:pPr>
  </w:style>
  <w:style w:type="paragraph" w:styleId="ListBullet4">
    <w:name w:val="List Bullet 4"/>
    <w:basedOn w:val="List4"/>
    <w:rsid w:val="00117F09"/>
    <w:pPr>
      <w:numPr>
        <w:numId w:val="3"/>
      </w:numPr>
      <w:tabs>
        <w:tab w:val="clear" w:pos="1361"/>
      </w:tabs>
    </w:pPr>
  </w:style>
  <w:style w:type="paragraph" w:styleId="ListBullet5">
    <w:name w:val="List Bullet 5"/>
    <w:basedOn w:val="List5"/>
    <w:rsid w:val="00117F09"/>
    <w:pPr>
      <w:numPr>
        <w:numId w:val="4"/>
      </w:numPr>
    </w:pPr>
  </w:style>
  <w:style w:type="paragraph" w:styleId="ListContinue2">
    <w:name w:val="List Continue 2"/>
    <w:basedOn w:val="List2"/>
    <w:rsid w:val="00117F09"/>
    <w:pPr>
      <w:ind w:firstLine="0"/>
    </w:pPr>
  </w:style>
  <w:style w:type="paragraph" w:styleId="ListContinue3">
    <w:name w:val="List Continue 3"/>
    <w:basedOn w:val="List3"/>
    <w:rsid w:val="00117F09"/>
    <w:pPr>
      <w:ind w:left="1021" w:firstLine="0"/>
    </w:pPr>
  </w:style>
  <w:style w:type="paragraph" w:styleId="ListContinue4">
    <w:name w:val="List Continue 4"/>
    <w:basedOn w:val="List4"/>
    <w:rsid w:val="00117F09"/>
    <w:pPr>
      <w:ind w:firstLine="0"/>
    </w:pPr>
  </w:style>
  <w:style w:type="paragraph" w:styleId="ListContinue5">
    <w:name w:val="List Continue 5"/>
    <w:basedOn w:val="List5"/>
    <w:rsid w:val="00117F09"/>
    <w:pPr>
      <w:ind w:firstLine="0"/>
    </w:pPr>
  </w:style>
  <w:style w:type="paragraph" w:styleId="ListNumber3">
    <w:name w:val="List Number 3"/>
    <w:basedOn w:val="List3"/>
    <w:rsid w:val="00117F09"/>
    <w:pPr>
      <w:numPr>
        <w:numId w:val="5"/>
      </w:numPr>
    </w:pPr>
  </w:style>
  <w:style w:type="paragraph" w:styleId="ListNumber4">
    <w:name w:val="List Number 4"/>
    <w:basedOn w:val="List4"/>
    <w:rsid w:val="00117F09"/>
    <w:pPr>
      <w:numPr>
        <w:numId w:val="6"/>
      </w:numPr>
    </w:pPr>
  </w:style>
  <w:style w:type="paragraph" w:styleId="ListNumber5">
    <w:name w:val="List Number 5"/>
    <w:basedOn w:val="List5"/>
    <w:rsid w:val="00117F09"/>
    <w:pPr>
      <w:numPr>
        <w:numId w:val="7"/>
      </w:numPr>
    </w:pPr>
  </w:style>
  <w:style w:type="paragraph" w:styleId="BlockText">
    <w:name w:val="Block Text"/>
    <w:basedOn w:val="Normal"/>
    <w:rsid w:val="00117F09"/>
    <w:pPr>
      <w:spacing w:after="120"/>
      <w:ind w:left="1440" w:right="1440"/>
    </w:pPr>
  </w:style>
  <w:style w:type="character" w:customStyle="1" w:styleId="Subscript">
    <w:name w:val="Subscript"/>
    <w:basedOn w:val="DefaultParagraphFont"/>
    <w:rsid w:val="00117F09"/>
    <w:rPr>
      <w:sz w:val="16"/>
      <w:vertAlign w:val="subscript"/>
    </w:rPr>
  </w:style>
  <w:style w:type="character" w:customStyle="1" w:styleId="Superscript">
    <w:name w:val="Superscript"/>
    <w:basedOn w:val="DefaultParagraphFont"/>
    <w:rsid w:val="00117F09"/>
    <w:rPr>
      <w:sz w:val="16"/>
      <w:vertAlign w:val="superscript"/>
    </w:rPr>
  </w:style>
  <w:style w:type="character" w:customStyle="1" w:styleId="Symbols">
    <w:name w:val="Symbols"/>
    <w:basedOn w:val="DefaultParagraphFont"/>
    <w:rsid w:val="00117F09"/>
    <w:rPr>
      <w:rFonts w:ascii="Symbol" w:hAnsi="Symbol"/>
    </w:rPr>
  </w:style>
  <w:style w:type="character" w:customStyle="1" w:styleId="MenuOptions">
    <w:name w:val="Menu Options"/>
    <w:basedOn w:val="DefaultParagraphFont"/>
    <w:rsid w:val="00117F09"/>
    <w:rPr>
      <w:rFonts w:ascii="Arial Narrow" w:hAnsi="Arial Narrow"/>
      <w:smallCaps/>
    </w:rPr>
  </w:style>
  <w:style w:type="character" w:customStyle="1" w:styleId="Buttons">
    <w:name w:val="Buttons"/>
    <w:basedOn w:val="DefaultParagraphFont"/>
    <w:rsid w:val="00117F09"/>
    <w:rPr>
      <w:b/>
    </w:rPr>
  </w:style>
  <w:style w:type="character" w:customStyle="1" w:styleId="Underlined">
    <w:name w:val="Underlined"/>
    <w:basedOn w:val="DefaultParagraphFont"/>
    <w:rsid w:val="00117F09"/>
    <w:rPr>
      <w:u w:val="single"/>
    </w:rPr>
  </w:style>
  <w:style w:type="paragraph" w:customStyle="1" w:styleId="TableBodyTextRight">
    <w:name w:val="Table Body Text Right"/>
    <w:basedOn w:val="TableBodyText"/>
    <w:rsid w:val="00117F09"/>
    <w:pPr>
      <w:widowControl w:val="0"/>
      <w:autoSpaceDE w:val="0"/>
      <w:autoSpaceDN w:val="0"/>
      <w:adjustRightInd w:val="0"/>
      <w:jc w:val="right"/>
    </w:pPr>
    <w:rPr>
      <w:rFonts w:cs="Arial"/>
      <w:szCs w:val="18"/>
    </w:rPr>
  </w:style>
  <w:style w:type="paragraph" w:customStyle="1" w:styleId="CopyrightText">
    <w:name w:val="Copyright Text"/>
    <w:basedOn w:val="BodyText"/>
    <w:rsid w:val="00117F09"/>
    <w:rPr>
      <w:sz w:val="18"/>
    </w:rPr>
  </w:style>
  <w:style w:type="paragraph" w:customStyle="1" w:styleId="BodySmallRight">
    <w:name w:val="Body Small Right"/>
    <w:basedOn w:val="BodyTextRight"/>
    <w:rsid w:val="00117F09"/>
    <w:rPr>
      <w:sz w:val="18"/>
      <w:szCs w:val="18"/>
    </w:rPr>
  </w:style>
  <w:style w:type="paragraph" w:customStyle="1" w:styleId="MarginEdition">
    <w:name w:val="Margin Edition"/>
    <w:basedOn w:val="MarginNote"/>
    <w:rsid w:val="00117F09"/>
    <w:pPr>
      <w:spacing w:before="0" w:after="0"/>
    </w:pPr>
    <w:rPr>
      <w:rFonts w:ascii="Times New Roman" w:hAnsi="Times New Roman"/>
      <w:color w:val="999999"/>
    </w:rPr>
  </w:style>
  <w:style w:type="paragraph" w:customStyle="1" w:styleId="Spacer">
    <w:name w:val="Spacer"/>
    <w:basedOn w:val="Normal"/>
    <w:rsid w:val="00117F09"/>
    <w:rPr>
      <w:sz w:val="2"/>
      <w:szCs w:val="2"/>
    </w:rPr>
  </w:style>
  <w:style w:type="character" w:customStyle="1" w:styleId="Small">
    <w:name w:val="Small"/>
    <w:basedOn w:val="DefaultParagraphFont"/>
    <w:rsid w:val="00117F09"/>
    <w:rPr>
      <w:sz w:val="16"/>
    </w:rPr>
  </w:style>
  <w:style w:type="paragraph" w:customStyle="1" w:styleId="WideTable">
    <w:name w:val="Wide Table"/>
    <w:basedOn w:val="Normal"/>
    <w:rsid w:val="00117F09"/>
    <w:pPr>
      <w:ind w:left="-1418"/>
    </w:pPr>
    <w:rPr>
      <w:sz w:val="2"/>
      <w:szCs w:val="2"/>
    </w:rPr>
  </w:style>
  <w:style w:type="character" w:styleId="PageNumber">
    <w:name w:val="page number"/>
    <w:basedOn w:val="DefaultParagraphFont"/>
    <w:rsid w:val="00117F09"/>
  </w:style>
  <w:style w:type="paragraph" w:styleId="Quote">
    <w:name w:val="Quote"/>
    <w:basedOn w:val="Heading1"/>
    <w:link w:val="QuoteChar"/>
    <w:qFormat/>
    <w:rsid w:val="00117F09"/>
    <w:rPr>
      <w:b w:val="0"/>
      <w:sz w:val="72"/>
      <w:szCs w:val="72"/>
      <w:lang w:val="en-NZ"/>
    </w:rPr>
  </w:style>
  <w:style w:type="character" w:customStyle="1" w:styleId="QuoteChar">
    <w:name w:val="Quote Char"/>
    <w:basedOn w:val="DefaultParagraphFont"/>
    <w:link w:val="Quote"/>
    <w:rsid w:val="00117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F09"/>
    <w:pPr>
      <w:pageBreakBefore/>
    </w:pPr>
  </w:style>
  <w:style w:type="paragraph" w:customStyle="1" w:styleId="Border">
    <w:name w:val="Border"/>
    <w:basedOn w:val="Normal"/>
    <w:qFormat/>
    <w:rsid w:val="00117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F09"/>
    <w:rPr>
      <w:b/>
      <w:bCs/>
      <w:i/>
      <w:iCs/>
      <w:color w:val="auto"/>
    </w:rPr>
  </w:style>
  <w:style w:type="paragraph" w:styleId="IntenseQuote">
    <w:name w:val="Intense Quote"/>
    <w:basedOn w:val="Normal"/>
    <w:next w:val="Normal"/>
    <w:link w:val="IntenseQuoteChar"/>
    <w:uiPriority w:val="30"/>
    <w:qFormat/>
    <w:rsid w:val="00117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F09"/>
    <w:rPr>
      <w:smallCaps/>
      <w:color w:val="auto"/>
      <w:u w:val="single"/>
    </w:rPr>
  </w:style>
  <w:style w:type="character" w:styleId="IntenseReference">
    <w:name w:val="Intense Reference"/>
    <w:basedOn w:val="DefaultParagraphFont"/>
    <w:uiPriority w:val="32"/>
    <w:qFormat/>
    <w:rsid w:val="00117F09"/>
    <w:rPr>
      <w:b/>
      <w:bCs/>
      <w:smallCaps/>
      <w:color w:val="auto"/>
      <w:spacing w:val="5"/>
      <w:u w:val="single"/>
    </w:rPr>
  </w:style>
  <w:style w:type="paragraph" w:customStyle="1" w:styleId="2ColumnHeading">
    <w:name w:val="2Column Heading"/>
    <w:basedOn w:val="BodyText"/>
    <w:qFormat/>
    <w:rsid w:val="00117F09"/>
    <w:pPr>
      <w:spacing w:after="60"/>
      <w:ind w:left="-2268"/>
    </w:pPr>
    <w:rPr>
      <w:b/>
    </w:rPr>
  </w:style>
  <w:style w:type="paragraph" w:customStyle="1" w:styleId="Heading1TOC">
    <w:name w:val="Heading1 TOC"/>
    <w:basedOn w:val="Normal"/>
    <w:qFormat/>
    <w:rsid w:val="00117F09"/>
    <w:pPr>
      <w:spacing w:before="240" w:after="120"/>
    </w:pPr>
    <w:rPr>
      <w:rFonts w:ascii="Times New Roman" w:hAnsi="Times New Roman"/>
      <w:b/>
      <w:sz w:val="32"/>
    </w:rPr>
  </w:style>
  <w:style w:type="paragraph" w:customStyle="1" w:styleId="Heading2TOC">
    <w:name w:val="Heading2 TOC"/>
    <w:basedOn w:val="Normal"/>
    <w:qFormat/>
    <w:rsid w:val="00117F09"/>
    <w:pPr>
      <w:spacing w:before="240" w:after="60"/>
    </w:pPr>
    <w:rPr>
      <w:rFonts w:ascii="Times New Roman" w:hAnsi="Times New Roman"/>
      <w:b/>
      <w:sz w:val="28"/>
    </w:rPr>
  </w:style>
  <w:style w:type="character" w:customStyle="1" w:styleId="Underline">
    <w:name w:val="Underline"/>
    <w:basedOn w:val="DefaultParagraphFont"/>
    <w:qFormat/>
    <w:rsid w:val="00117F09"/>
    <w:rPr>
      <w:u w:val="single"/>
    </w:rPr>
  </w:style>
  <w:style w:type="character" w:customStyle="1" w:styleId="BoldandItalics">
    <w:name w:val="Bold and Italics"/>
    <w:qFormat/>
    <w:rsid w:val="00117F09"/>
    <w:rPr>
      <w:b/>
      <w:i/>
      <w:u w:val="none"/>
    </w:rPr>
  </w:style>
  <w:style w:type="paragraph" w:styleId="BalloonText">
    <w:name w:val="Balloon Text"/>
    <w:basedOn w:val="Normal"/>
    <w:link w:val="BalloonTextChar"/>
    <w:rsid w:val="00117F09"/>
    <w:rPr>
      <w:rFonts w:ascii="Tahoma" w:hAnsi="Tahoma" w:cs="Tahoma"/>
      <w:sz w:val="16"/>
      <w:szCs w:val="16"/>
    </w:rPr>
  </w:style>
  <w:style w:type="character" w:customStyle="1" w:styleId="BalloonTextChar">
    <w:name w:val="Balloon Text Char"/>
    <w:basedOn w:val="DefaultParagraphFont"/>
    <w:link w:val="BalloonText"/>
    <w:rsid w:val="00117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F09"/>
    <w:rPr>
      <w:b/>
      <w:color w:val="660033"/>
      <w:spacing w:val="0"/>
    </w:rPr>
  </w:style>
  <w:style w:type="paragraph" w:customStyle="1" w:styleId="Nameditemlist">
    <w:name w:val="Named item list"/>
    <w:basedOn w:val="BodyText"/>
    <w:qFormat/>
    <w:rsid w:val="00117F09"/>
    <w:pPr>
      <w:tabs>
        <w:tab w:val="left" w:pos="2835"/>
      </w:tabs>
      <w:ind w:left="2835" w:hanging="2835"/>
    </w:pPr>
  </w:style>
  <w:style w:type="paragraph" w:customStyle="1" w:styleId="BodyTextnopadding">
    <w:name w:val="Body Text no padding"/>
    <w:basedOn w:val="BodyText"/>
    <w:qFormat/>
    <w:rsid w:val="00117F09"/>
    <w:pPr>
      <w:spacing w:before="0" w:after="0"/>
    </w:pPr>
  </w:style>
  <w:style w:type="paragraph" w:customStyle="1" w:styleId="BodyTextBold">
    <w:name w:val="Body Text Bold"/>
    <w:basedOn w:val="BodyText"/>
    <w:qFormat/>
    <w:rsid w:val="00117F09"/>
    <w:rPr>
      <w:b/>
    </w:rPr>
  </w:style>
  <w:style w:type="character" w:styleId="Hyperlink">
    <w:name w:val="Hyperlink"/>
    <w:basedOn w:val="DefaultParagraphFont"/>
    <w:uiPriority w:val="99"/>
    <w:unhideWhenUsed/>
    <w:rsid w:val="00911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7047</Characters>
  <Application>Microsoft Office Word</Application>
  <DocSecurity>0</DocSecurity>
  <Lines>251</Lines>
  <Paragraphs>153</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DEFEXO087 Assess the safety and suitability for service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