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A3B" w:rsidP="00931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DEFEXO084 Apply knowledge of explosive chemistry</w:t>
      </w:r>
      <w:r>
        <w:fldChar w:fldCharType="end"/>
      </w:r>
    </w:p>
    <w:p w:rsidR="00931A3B" w:rsidP="00931A3B">
      <w:pPr>
        <w:pStyle w:val="Version"/>
        <w:sectPr w:rsidSect="00501D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1DAE" w:rsidP="00501DAE">
      <w:pPr>
        <w:pStyle w:val="SuperHeading"/>
      </w:pPr>
      <w:r w:rsidRPr="00501DAE">
        <w:t>DEFEXO084 Apply knowledge of explosive chemistry</w:t>
      </w:r>
    </w:p>
    <w:p w:rsidR="00000000" w:rsidRPr="00501DAE" w:rsidP="00501DAE">
      <w:pPr>
        <w:pStyle w:val="Heading1"/>
      </w:pPr>
      <w:bookmarkStart w:id="1" w:name="O_1097790"/>
      <w:bookmarkEnd w:id="1"/>
      <w:r w:rsidRPr="00501D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t>Release 2. Modifications made to Foundation Skills and Assessment Conditions.</w:t>
            </w:r>
          </w:p>
        </w:tc>
      </w:tr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t>Release 1. This unit was released in DEF Defence Training Package release 1.0 and meets the Standards for Training Packages.</w:t>
            </w:r>
          </w:p>
          <w:p w:rsidR="00000000" w:rsidRPr="00501DAE" w:rsidP="00501DAE">
            <w:pPr>
              <w:pStyle w:val="BodyText"/>
            </w:pPr>
            <w:r w:rsidRPr="00501DAE">
              <w:t>This unit supersedes a</w:t>
            </w:r>
            <w:r w:rsidRPr="00501DAE">
              <w:t>nd is equivalent to DEFEO001 Apply knowledge of explosive ordnance chemistry.</w:t>
            </w:r>
          </w:p>
          <w:p w:rsidR="00000000" w:rsidRPr="00501DAE" w:rsidP="00501DAE">
            <w:pPr>
              <w:pStyle w:val="ListBullet"/>
            </w:pPr>
            <w:r w:rsidRPr="00501DAE">
              <w:t>Unit code updated</w:t>
            </w:r>
          </w:p>
          <w:p w:rsidR="00000000" w:rsidRPr="00501DAE" w:rsidP="00501DAE">
            <w:pPr>
              <w:pStyle w:val="ListBullet"/>
            </w:pPr>
            <w:r w:rsidRPr="00501DAE">
              <w:t>Content and formatting updated to comply with the new standards</w:t>
            </w:r>
          </w:p>
          <w:p w:rsidR="00000000" w:rsidRPr="00501DAE" w:rsidP="00501DAE">
            <w:pPr>
              <w:pStyle w:val="ListBullet"/>
            </w:pPr>
            <w:r w:rsidRPr="00501DAE">
              <w:t>All PC transitioned from passive to active voice</w:t>
            </w:r>
          </w:p>
          <w:p w:rsidR="00000000" w:rsidRPr="00501DAE" w:rsidP="00501DAE">
            <w:pPr>
              <w:pStyle w:val="ListBullet"/>
            </w:pPr>
            <w:r w:rsidRPr="00501DAE">
              <w:t>PC 2.1 removed</w:t>
            </w:r>
          </w:p>
        </w:tc>
      </w:tr>
    </w:tbl>
    <w:p w:rsidR="00931A3B" w:rsidP="00501DAE">
      <w:pPr>
        <w:pStyle w:val="NoPaddingFontSize1"/>
      </w:pPr>
    </w:p>
    <w:p w:rsidR="00931A3B" w:rsidP="00501DAE">
      <w:pPr>
        <w:pStyle w:val="NoPaddingFontSize1"/>
      </w:pPr>
    </w:p>
    <w:p w:rsidR="00000000" w:rsidRPr="00501DAE" w:rsidP="00501DAE">
      <w:pPr>
        <w:pStyle w:val="Heading1"/>
      </w:pPr>
      <w:bookmarkStart w:id="2" w:name="O_1097789"/>
      <w:bookmarkEnd w:id="2"/>
      <w:r w:rsidRPr="00501DAE">
        <w:t>Applicati</w:t>
      </w:r>
      <w:r w:rsidRPr="00501DAE">
        <w:t>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t xml:space="preserve">This unit describes the skills required to analyse and apply knowledge of the chemistry of explosives. The application of the knowledge of explosive </w:t>
            </w:r>
            <w:r w:rsidRPr="00501DAE">
              <w:t>chemistry is specific to the work being undertaken by individuals involved within a variety of applications including manufacturing, policy development, technical manual development, platform integration, configuration, staff processes, transport, disposal</w:t>
            </w:r>
            <w:r w:rsidRPr="00501DAE">
              <w:t>, trials and inter-operability.</w:t>
            </w:r>
          </w:p>
          <w:p w:rsidR="00000000" w:rsidRPr="00501DAE" w:rsidP="00501DAE">
            <w:pPr>
              <w:pStyle w:val="BodyText"/>
            </w:pPr>
            <w:r w:rsidRPr="00501DAE">
              <w:t>This unit applies to those required to analyse the chemistry of explosives in the context of their work environment and in relation to their workplace functions.</w:t>
            </w:r>
          </w:p>
          <w:p w:rsidR="00000000" w:rsidRPr="00501DAE" w:rsidP="00501DAE">
            <w:pPr>
              <w:pStyle w:val="BodyText"/>
            </w:pPr>
            <w:r w:rsidRPr="00501DAE">
              <w:t>The skills and knowledge described in this unit must be applie</w:t>
            </w:r>
            <w:r w:rsidRPr="00501DAE">
              <w:t>d within the legislative, regulatory and policy environment in which they are carried out. Organisational policies and procedures must be consulted and adhered to.</w:t>
            </w:r>
          </w:p>
          <w:p w:rsidR="00000000" w:rsidRPr="00501DAE" w:rsidP="00501DAE">
            <w:pPr>
              <w:pStyle w:val="BodyText"/>
            </w:pPr>
            <w:r w:rsidRPr="00501DAE">
              <w:t>Those undertaking this unit would make high level, fully independent judgements, applying fu</w:t>
            </w:r>
            <w:r w:rsidRPr="00501DAE">
              <w:t>nctional knowledge of the chemistry of explosives, analysing complex data and producing specific documents detailing the outcomes of highly specialised technical functions. They would perform sophisticated tasks in a broad range of specialised contexts.</w:t>
            </w:r>
          </w:p>
          <w:p w:rsidR="00000000" w:rsidRPr="00501DAE" w:rsidP="00501DAE">
            <w:pPr>
              <w:pStyle w:val="BodyText"/>
            </w:pPr>
            <w:r w:rsidRPr="00501DAE">
              <w:t>No</w:t>
            </w:r>
            <w:r w:rsidRPr="00501DAE">
              <w:t xml:space="preserve"> licensing, legislative or certification requirements apply to unit at the time of publication.</w:t>
            </w:r>
          </w:p>
        </w:tc>
      </w:tr>
    </w:tbl>
    <w:p w:rsidR="00931A3B" w:rsidP="00501DAE">
      <w:pPr>
        <w:pStyle w:val="NoPaddingFontSize1"/>
      </w:pPr>
    </w:p>
    <w:p w:rsidR="00931A3B" w:rsidP="00501DAE">
      <w:pPr>
        <w:pStyle w:val="NoPaddingFontSize1"/>
      </w:pPr>
    </w:p>
    <w:p w:rsidR="00000000" w:rsidRPr="00501DAE" w:rsidP="00501DAE">
      <w:pPr>
        <w:pStyle w:val="Heading1"/>
      </w:pPr>
      <w:bookmarkStart w:id="3" w:name="O_1104700"/>
      <w:bookmarkEnd w:id="3"/>
      <w:r w:rsidRPr="00501D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t>Not applicable.</w:t>
            </w:r>
          </w:p>
        </w:tc>
      </w:tr>
    </w:tbl>
    <w:p w:rsidR="00931A3B" w:rsidP="00501DAE">
      <w:pPr>
        <w:pStyle w:val="NoPaddingFontSize1"/>
      </w:pPr>
    </w:p>
    <w:p w:rsidR="00931A3B" w:rsidP="00501DAE">
      <w:pPr>
        <w:pStyle w:val="NoPaddingFontSize1"/>
      </w:pPr>
    </w:p>
    <w:p w:rsidR="00000000" w:rsidRPr="00501DAE" w:rsidP="00501DAE">
      <w:pPr>
        <w:pStyle w:val="Heading1"/>
      </w:pPr>
      <w:bookmarkStart w:id="4" w:name="O_1097788"/>
      <w:bookmarkEnd w:id="4"/>
      <w:r w:rsidRPr="00501D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t>Explosive Ordnance</w:t>
            </w:r>
          </w:p>
        </w:tc>
      </w:tr>
    </w:tbl>
    <w:p w:rsidR="00931A3B" w:rsidP="00501DAE">
      <w:pPr>
        <w:pStyle w:val="NoPaddingFontSize1"/>
      </w:pPr>
    </w:p>
    <w:p w:rsidR="00931A3B" w:rsidP="00501DAE">
      <w:pPr>
        <w:pStyle w:val="NoPaddingFontSize1"/>
      </w:pPr>
    </w:p>
    <w:p w:rsidR="00000000" w:rsidRPr="00501DAE" w:rsidP="00501DAE">
      <w:pPr>
        <w:pStyle w:val="Heading1"/>
      </w:pPr>
      <w:bookmarkStart w:id="5" w:name="O_1104701"/>
      <w:bookmarkEnd w:id="5"/>
      <w:r w:rsidRPr="00501D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t>Not applicable.</w:t>
            </w:r>
          </w:p>
        </w:tc>
      </w:tr>
    </w:tbl>
    <w:p w:rsidR="00931A3B" w:rsidP="00501DAE">
      <w:pPr>
        <w:pStyle w:val="NoPaddingFontSize1"/>
      </w:pPr>
    </w:p>
    <w:p w:rsidR="00931A3B" w:rsidP="00501DAE">
      <w:pPr>
        <w:pStyle w:val="NoPaddingFontSize1"/>
      </w:pPr>
    </w:p>
    <w:p w:rsidR="00000000" w:rsidRPr="00501DAE" w:rsidP="00501DAE">
      <w:pPr>
        <w:pStyle w:val="Heading1"/>
      </w:pPr>
      <w:bookmarkStart w:id="6" w:name="O_1097787"/>
      <w:bookmarkEnd w:id="6"/>
      <w:r w:rsidRPr="00501DA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rPr>
                <w:rStyle w:val="SpecialBold"/>
              </w:rPr>
              <w:t>PERFORMANCE CRITERIA</w:t>
            </w:r>
          </w:p>
        </w:tc>
      </w:tr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t>Performance criteria describe the performance needed to demonstrate achievement of the element.</w:t>
            </w:r>
          </w:p>
        </w:tc>
      </w:tr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rPr>
                <w:rStyle w:val="SpecialBold"/>
              </w:rPr>
              <w:t>Access and analyse relevant explosive chemical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t>Identify the purpose of the required analysis, including the relevance of the chemistry of explosives</w:t>
            </w:r>
          </w:p>
        </w:tc>
      </w:tr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t>Identify and obtain explosives safety, legislative and statutory requirements</w:t>
            </w:r>
          </w:p>
        </w:tc>
      </w:tr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t>Analyse the information obtained to determine the relevance within its application and in the context of the organisation</w:t>
            </w:r>
          </w:p>
        </w:tc>
      </w:tr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t>Formulate outcomes of the analysis and provide recommendations</w:t>
            </w:r>
          </w:p>
        </w:tc>
      </w:tr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rPr>
                <w:rStyle w:val="SpecialBold"/>
              </w:rPr>
              <w:t>Implement recommendations specific to explosives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t>Establish work being undertaken and apply the relevant recommendations</w:t>
            </w:r>
          </w:p>
        </w:tc>
      </w:tr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t>Assess, review and record effectiveness of the recommendations</w:t>
            </w:r>
          </w:p>
        </w:tc>
      </w:tr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AE">
            <w:pPr>
              <w:pStyle w:val="BodyText"/>
              <w:rPr>
                <w:lang w:val="en-NZ"/>
              </w:rPr>
            </w:pPr>
            <w:r w:rsidRPr="00501D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t>Adjust recommendations if required and document for future application</w:t>
            </w:r>
          </w:p>
        </w:tc>
      </w:tr>
    </w:tbl>
    <w:p w:rsidR="00931A3B" w:rsidP="00501DAE">
      <w:pPr>
        <w:pStyle w:val="NoPaddingFontSize1"/>
      </w:pPr>
    </w:p>
    <w:p w:rsidR="00931A3B" w:rsidP="00501DAE">
      <w:pPr>
        <w:pStyle w:val="NoPaddingFontSize1"/>
      </w:pPr>
    </w:p>
    <w:p w:rsidR="00000000" w:rsidRPr="00501DAE" w:rsidP="00501DAE">
      <w:pPr>
        <w:pStyle w:val="Heading1"/>
      </w:pPr>
      <w:bookmarkStart w:id="7" w:name="O_1097786"/>
      <w:bookmarkEnd w:id="7"/>
      <w:r w:rsidRPr="00501D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t>Foundation skills essential to performance are explicit in the performance criteria of this unit of competency.</w:t>
            </w:r>
          </w:p>
        </w:tc>
      </w:tr>
    </w:tbl>
    <w:p w:rsidR="00931A3B" w:rsidP="00501DAE">
      <w:pPr>
        <w:pStyle w:val="NoPaddingFontSize1"/>
      </w:pPr>
    </w:p>
    <w:p w:rsidR="00931A3B" w:rsidP="00501DAE">
      <w:pPr>
        <w:pStyle w:val="NoPaddingFontSize1"/>
      </w:pPr>
    </w:p>
    <w:p w:rsidR="00000000" w:rsidRPr="00501DAE" w:rsidP="00501DAE">
      <w:pPr>
        <w:pStyle w:val="Heading1"/>
      </w:pPr>
      <w:bookmarkStart w:id="8" w:name="O_1104702"/>
      <w:bookmarkEnd w:id="8"/>
      <w:r w:rsidRPr="00501D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t>Range is restricted to essential operating conditions and any other variables essent</w:t>
            </w:r>
            <w:r w:rsidRPr="00501DAE">
              <w:t>ial to the work environment.</w:t>
            </w:r>
          </w:p>
          <w:p w:rsidR="00000000" w:rsidRPr="00501DAE" w:rsidP="00501DAE">
            <w:pPr>
              <w:pStyle w:val="BodyText"/>
            </w:pPr>
            <w:r w:rsidRPr="00501DAE">
              <w:t>Non-essential conditions may be found in the Companion Volume Implementation Guide.</w:t>
            </w:r>
          </w:p>
        </w:tc>
      </w:tr>
    </w:tbl>
    <w:p w:rsidR="00931A3B" w:rsidP="00501DAE">
      <w:pPr>
        <w:pStyle w:val="NoPaddingFontSize1"/>
      </w:pPr>
    </w:p>
    <w:p w:rsidR="00931A3B" w:rsidP="00501DAE">
      <w:pPr>
        <w:pStyle w:val="NoPaddingFontSize1"/>
      </w:pPr>
    </w:p>
    <w:p w:rsidR="00000000" w:rsidRPr="00501DAE" w:rsidP="00501DAE">
      <w:pPr>
        <w:pStyle w:val="Heading1"/>
      </w:pPr>
      <w:bookmarkStart w:id="9" w:name="O_1097785"/>
      <w:bookmarkEnd w:id="9"/>
      <w:r w:rsidRPr="00501D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AE" w:rsidP="00501DAE">
            <w:pPr>
              <w:pStyle w:val="BodyText"/>
            </w:pPr>
            <w:r w:rsidRPr="00501DAE">
              <w:t>This unit supersedes and is equivalent to DEFEO001 Apply knowledge of explosive ordnance chemist</w:t>
            </w:r>
            <w:r w:rsidRPr="00501DAE">
              <w:t>ry.</w:t>
            </w:r>
          </w:p>
        </w:tc>
      </w:tr>
    </w:tbl>
    <w:p w:rsidR="00931A3B" w:rsidP="00501DAE">
      <w:pPr>
        <w:pStyle w:val="NoPaddingFontSize1"/>
      </w:pPr>
    </w:p>
    <w:p w:rsidR="00931A3B" w:rsidP="00501DAE">
      <w:pPr>
        <w:pStyle w:val="NoPaddingFontSize1"/>
      </w:pPr>
    </w:p>
    <w:p w:rsidR="00000000" w:rsidRPr="00501DAE" w:rsidP="00501DAE">
      <w:pPr>
        <w:pStyle w:val="Heading1"/>
      </w:pPr>
      <w:bookmarkStart w:id="10" w:name="O_1097791"/>
      <w:bookmarkEnd w:id="10"/>
      <w:r w:rsidRPr="00501DAE">
        <w:t>Links</w:t>
      </w:r>
    </w:p>
    <w:p w:rsidR="00000000" w:rsidRPr="00501DAE" w:rsidP="00931A3B">
      <w:pPr>
        <w:pStyle w:val="BodyText"/>
      </w:pPr>
      <w:r w:rsidRPr="00501D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A00C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01DAE" w:rsidP="00501DAE"/>
    <w:sectPr w:rsidSect="00501D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AE" w:rsidRPr="00931A3B" w:rsidP="00931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3B" w:rsidP="00501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A3B" w:rsidP="00501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31A3B" w:rsidP="00501D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DAE" w:rsidRPr="00931A3B" w:rsidP="00931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3B" w:rsidRPr="002D2AF8" w:rsidP="00501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DEFEXO084 Apply knowledge of explosive chemistry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31A3B" w:rsidP="00501D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706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AEFA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DAE"/>
  </w:style>
  <w:style w:type="character" w:customStyle="1" w:styleId="Heading1Char">
    <w:name w:val="Heading 1 Char"/>
    <w:basedOn w:val="DefaultParagraphFont"/>
    <w:link w:val="Heading1"/>
    <w:rsid w:val="00501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D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D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DAE"/>
    <w:rPr>
      <w:b/>
      <w:spacing w:val="0"/>
    </w:rPr>
  </w:style>
  <w:style w:type="paragraph" w:customStyle="1" w:styleId="SuperHeading">
    <w:name w:val="SuperHeading"/>
    <w:basedOn w:val="Normal"/>
    <w:rsid w:val="00501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1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D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D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1D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1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D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DAE"/>
    <w:rPr>
      <w:i/>
    </w:rPr>
  </w:style>
  <w:style w:type="paragraph" w:styleId="Caption">
    <w:name w:val="caption"/>
    <w:basedOn w:val="BodyText"/>
    <w:next w:val="Normal"/>
    <w:qFormat/>
    <w:rsid w:val="00501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D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DAE"/>
  </w:style>
  <w:style w:type="paragraph" w:styleId="TableofFigures">
    <w:name w:val="table of figures"/>
    <w:basedOn w:val="Normal"/>
    <w:next w:val="Normal"/>
    <w:semiHidden/>
    <w:rsid w:val="00501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D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1DAE"/>
    <w:rPr>
      <w:rFonts w:ascii="Wingdings" w:hAnsi="Wingdings"/>
    </w:rPr>
  </w:style>
  <w:style w:type="paragraph" w:customStyle="1" w:styleId="TableHeading">
    <w:name w:val="Table Heading"/>
    <w:basedOn w:val="HeadingBase"/>
    <w:rsid w:val="00501D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DAE"/>
    <w:rPr>
      <w:color w:val="0033CC"/>
      <w:u w:val="none"/>
    </w:rPr>
  </w:style>
  <w:style w:type="paragraph" w:customStyle="1" w:styleId="BodyTextRight">
    <w:name w:val="Body Text Right"/>
    <w:basedOn w:val="BodyText"/>
    <w:rsid w:val="00501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D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DAE"/>
    <w:rPr>
      <w:sz w:val="32"/>
    </w:rPr>
  </w:style>
  <w:style w:type="paragraph" w:customStyle="1" w:styleId="HeadingProcedure">
    <w:name w:val="Heading Procedure"/>
    <w:basedOn w:val="HeadingBase"/>
    <w:next w:val="Normal"/>
    <w:rsid w:val="00501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DAE"/>
    <w:pPr>
      <w:spacing w:before="60" w:after="60"/>
    </w:pPr>
  </w:style>
  <w:style w:type="paragraph" w:styleId="ListContinue">
    <w:name w:val="List Continue"/>
    <w:basedOn w:val="List"/>
    <w:rsid w:val="00501DAE"/>
    <w:pPr>
      <w:ind w:firstLine="0"/>
    </w:pPr>
  </w:style>
  <w:style w:type="paragraph" w:customStyle="1" w:styleId="ListNote">
    <w:name w:val="List Note"/>
    <w:basedOn w:val="List"/>
    <w:rsid w:val="00501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DAE"/>
    <w:rPr>
      <w:rFonts w:ascii="Courier New" w:hAnsi="Courier New"/>
    </w:rPr>
  </w:style>
  <w:style w:type="paragraph" w:customStyle="1" w:styleId="NoteBullet">
    <w:name w:val="Note Bullet"/>
    <w:basedOn w:val="Note"/>
    <w:rsid w:val="00501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D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1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DAE"/>
    <w:rPr>
      <w:b/>
      <w:smallCaps/>
    </w:rPr>
  </w:style>
  <w:style w:type="paragraph" w:customStyle="1" w:styleId="TableListNumber">
    <w:name w:val="Table List Number"/>
    <w:basedOn w:val="ListNumber"/>
    <w:rsid w:val="00501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DAE"/>
    <w:pPr>
      <w:numPr>
        <w:numId w:val="8"/>
      </w:numPr>
    </w:pPr>
  </w:style>
  <w:style w:type="paragraph" w:customStyle="1" w:styleId="ListAlpha2">
    <w:name w:val="List Alpha 2"/>
    <w:basedOn w:val="List2"/>
    <w:rsid w:val="00501DAE"/>
    <w:pPr>
      <w:numPr>
        <w:numId w:val="7"/>
      </w:numPr>
    </w:pPr>
  </w:style>
  <w:style w:type="paragraph" w:styleId="List2">
    <w:name w:val="List 2"/>
    <w:basedOn w:val="BodyText"/>
    <w:rsid w:val="00501D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D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D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D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1DAE"/>
    <w:pPr>
      <w:numPr>
        <w:numId w:val="3"/>
      </w:numPr>
    </w:pPr>
  </w:style>
  <w:style w:type="paragraph" w:styleId="ListContinue2">
    <w:name w:val="List Continue 2"/>
    <w:basedOn w:val="List2"/>
    <w:rsid w:val="00501DAE"/>
    <w:pPr>
      <w:ind w:firstLine="0"/>
    </w:pPr>
  </w:style>
  <w:style w:type="paragraph" w:styleId="ListContinue3">
    <w:name w:val="List Continue 3"/>
    <w:basedOn w:val="List3"/>
    <w:rsid w:val="00501DAE"/>
    <w:pPr>
      <w:ind w:left="1021" w:firstLine="0"/>
    </w:pPr>
  </w:style>
  <w:style w:type="paragraph" w:styleId="ListContinue4">
    <w:name w:val="List Continue 4"/>
    <w:basedOn w:val="List4"/>
    <w:rsid w:val="00501DAE"/>
    <w:pPr>
      <w:ind w:firstLine="0"/>
    </w:pPr>
  </w:style>
  <w:style w:type="paragraph" w:styleId="ListContinue5">
    <w:name w:val="List Continue 5"/>
    <w:basedOn w:val="List5"/>
    <w:rsid w:val="00501DAE"/>
    <w:pPr>
      <w:ind w:firstLine="0"/>
    </w:pPr>
  </w:style>
  <w:style w:type="paragraph" w:styleId="ListNumber3">
    <w:name w:val="List Number 3"/>
    <w:basedOn w:val="List3"/>
    <w:rsid w:val="00501DAE"/>
    <w:pPr>
      <w:numPr>
        <w:numId w:val="4"/>
      </w:numPr>
    </w:pPr>
  </w:style>
  <w:style w:type="paragraph" w:styleId="ListNumber4">
    <w:name w:val="List Number 4"/>
    <w:basedOn w:val="List4"/>
    <w:rsid w:val="00501DAE"/>
    <w:pPr>
      <w:numPr>
        <w:numId w:val="5"/>
      </w:numPr>
    </w:pPr>
  </w:style>
  <w:style w:type="paragraph" w:styleId="ListNumber5">
    <w:name w:val="List Number 5"/>
    <w:basedOn w:val="List5"/>
    <w:rsid w:val="00501DAE"/>
    <w:pPr>
      <w:numPr>
        <w:numId w:val="6"/>
      </w:numPr>
    </w:pPr>
  </w:style>
  <w:style w:type="paragraph" w:styleId="BlockText">
    <w:name w:val="Block Text"/>
    <w:basedOn w:val="Normal"/>
    <w:rsid w:val="00501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DAE"/>
    <w:rPr>
      <w:sz w:val="16"/>
      <w:vertAlign w:val="superscript"/>
    </w:rPr>
  </w:style>
  <w:style w:type="character" w:customStyle="1" w:styleId="Symbols">
    <w:name w:val="Symbols"/>
    <w:basedOn w:val="DefaultParagraphFont"/>
    <w:rsid w:val="00501DAE"/>
    <w:rPr>
      <w:rFonts w:ascii="Symbol" w:hAnsi="Symbol"/>
    </w:rPr>
  </w:style>
  <w:style w:type="character" w:customStyle="1" w:styleId="MenuOptions">
    <w:name w:val="Menu Options"/>
    <w:basedOn w:val="DefaultParagraphFont"/>
    <w:rsid w:val="00501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DAE"/>
    <w:rPr>
      <w:b/>
    </w:rPr>
  </w:style>
  <w:style w:type="character" w:customStyle="1" w:styleId="Underlined">
    <w:name w:val="Underlined"/>
    <w:basedOn w:val="DefaultParagraphFont"/>
    <w:rsid w:val="00501DAE"/>
    <w:rPr>
      <w:u w:val="single"/>
    </w:rPr>
  </w:style>
  <w:style w:type="paragraph" w:customStyle="1" w:styleId="TableBodyTextRight">
    <w:name w:val="Table Body Text Right"/>
    <w:basedOn w:val="TableBodyText"/>
    <w:rsid w:val="00501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DAE"/>
    <w:rPr>
      <w:sz w:val="18"/>
    </w:rPr>
  </w:style>
  <w:style w:type="paragraph" w:customStyle="1" w:styleId="BodySmallRight">
    <w:name w:val="Body Small Right"/>
    <w:basedOn w:val="BodyTextRight"/>
    <w:rsid w:val="00501DAE"/>
    <w:rPr>
      <w:sz w:val="18"/>
      <w:szCs w:val="18"/>
    </w:rPr>
  </w:style>
  <w:style w:type="paragraph" w:customStyle="1" w:styleId="MarginEdition">
    <w:name w:val="Margin Edition"/>
    <w:basedOn w:val="MarginNote"/>
    <w:rsid w:val="00501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DAE"/>
    <w:rPr>
      <w:sz w:val="2"/>
      <w:szCs w:val="2"/>
    </w:rPr>
  </w:style>
  <w:style w:type="character" w:customStyle="1" w:styleId="Small">
    <w:name w:val="Small"/>
    <w:basedOn w:val="DefaultParagraphFont"/>
    <w:rsid w:val="00501DAE"/>
    <w:rPr>
      <w:sz w:val="16"/>
    </w:rPr>
  </w:style>
  <w:style w:type="paragraph" w:customStyle="1" w:styleId="WideTable">
    <w:name w:val="Wide Table"/>
    <w:basedOn w:val="Normal"/>
    <w:rsid w:val="00501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DAE"/>
  </w:style>
  <w:style w:type="paragraph" w:styleId="Quote">
    <w:name w:val="Quote"/>
    <w:basedOn w:val="Heading1"/>
    <w:link w:val="QuoteChar"/>
    <w:qFormat/>
    <w:rsid w:val="00501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DAE"/>
    <w:pPr>
      <w:pageBreakBefore/>
    </w:pPr>
  </w:style>
  <w:style w:type="paragraph" w:customStyle="1" w:styleId="Border">
    <w:name w:val="Border"/>
    <w:basedOn w:val="Normal"/>
    <w:qFormat/>
    <w:rsid w:val="00501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DAE"/>
    <w:rPr>
      <w:u w:val="single"/>
    </w:rPr>
  </w:style>
  <w:style w:type="character" w:customStyle="1" w:styleId="BoldandItalics">
    <w:name w:val="Bold and Italics"/>
    <w:qFormat/>
    <w:rsid w:val="00501DAE"/>
    <w:rPr>
      <w:b/>
      <w:i/>
      <w:u w:val="none"/>
    </w:rPr>
  </w:style>
  <w:style w:type="paragraph" w:styleId="BalloonText">
    <w:name w:val="Balloon Text"/>
    <w:basedOn w:val="Normal"/>
    <w:link w:val="BalloonTextChar"/>
    <w:rsid w:val="00501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DAE"/>
    <w:pPr>
      <w:spacing w:before="0" w:after="0"/>
    </w:pPr>
  </w:style>
  <w:style w:type="paragraph" w:customStyle="1" w:styleId="BodyTextBold">
    <w:name w:val="Body Text Bold"/>
    <w:basedOn w:val="BodyText"/>
    <w:qFormat/>
    <w:rsid w:val="00501DAE"/>
    <w:rPr>
      <w:b/>
    </w:rPr>
  </w:style>
  <w:style w:type="character" w:styleId="Hyperlink">
    <w:name w:val="Hyperlink"/>
    <w:basedOn w:val="DefaultParagraphFont"/>
    <w:uiPriority w:val="99"/>
    <w:unhideWhenUsed/>
    <w:rsid w:val="00931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3214</Characters>
  <Application>Microsoft Office Word</Application>
  <DocSecurity>0</DocSecurity>
  <Lines>123</Lines>
  <Paragraphs>66</Paragraphs>
  <ScaleCrop>false</ScaleCrop>
  <Company>Author-it Software Corporation Ltd.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DEFEXO084 Apply knowledge of explosive chemistry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2024-11-07T12:39:00Z</dcterms:created>
  <dcterms:modified xsi:type="dcterms:W3CDTF">2024-11-07T12:39:00Z</dcterms:modified>
</cp:coreProperties>
</file>