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975" w:rsidP="002E0975">
      <w:pPr>
        <w:pStyle w:val="Title"/>
      </w:pPr>
      <w:r>
        <w:fldChar w:fldCharType="begin"/>
      </w:r>
      <w:r>
        <w:instrText xml:space="preserve"> TITLE   \* MERGEFORMAT </w:instrText>
      </w:r>
      <w:r>
        <w:fldChar w:fldCharType="separate"/>
      </w:r>
      <w:r>
        <w:t>DEFEXO069 Plan loading of dangerous goods</w:t>
      </w:r>
      <w:r>
        <w:fldChar w:fldCharType="end"/>
      </w:r>
    </w:p>
    <w:p w:rsidR="002E0975" w:rsidP="002E0975">
      <w:pPr>
        <w:pStyle w:val="Version"/>
        <w:sectPr w:rsidSect="00AF4B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4BAE" w:rsidP="00AF4BAE">
      <w:pPr>
        <w:pStyle w:val="SuperHeading"/>
      </w:pPr>
      <w:r w:rsidRPr="00AF4BAE">
        <w:t>DEFEXO069 Plan loading of dangerous goods</w:t>
      </w:r>
    </w:p>
    <w:p w:rsidR="00000000" w:rsidRPr="00AF4BAE" w:rsidP="00AF4BAE">
      <w:pPr>
        <w:pStyle w:val="Heading1"/>
      </w:pPr>
      <w:bookmarkStart w:id="1" w:name="O_1097684"/>
      <w:bookmarkEnd w:id="1"/>
      <w:r w:rsidRPr="00AF4BAE">
        <w:t>Modification History</w:t>
      </w:r>
    </w:p>
    <w:tbl>
      <w:tblPr>
        <w:tblW w:w="9497" w:type="dxa"/>
        <w:tblLayout w:type="fixed"/>
        <w:tblCellMar>
          <w:left w:w="62" w:type="dxa"/>
          <w:right w:w="62" w:type="dxa"/>
        </w:tblCellMar>
        <w:tblLook w:val="0000"/>
      </w:tblPr>
      <w:tblGrid>
        <w:gridCol w:w="9497"/>
      </w:tblGrid>
      <w:tr w:rsidTr="00AF4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t>Release 2. Modifications made to Foundation Skills and Assessment Conditions.</w:t>
            </w:r>
          </w:p>
        </w:tc>
      </w:tr>
      <w:tr w:rsidTr="00AF4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BAE" w:rsidP="00AF4BAE">
            <w:pPr>
              <w:pStyle w:val="BodyText"/>
            </w:pPr>
            <w:r w:rsidRPr="00AF4BAE">
              <w:t>Release 1. This unit was released in DEF Defence Training Package release 1.0 and meets the Standards for Training Packages.</w:t>
            </w:r>
          </w:p>
          <w:p w:rsidR="00000000" w:rsidRPr="00AF4BAE" w:rsidP="00AF4BAE">
            <w:pPr>
              <w:pStyle w:val="BodyText"/>
            </w:pPr>
            <w:r w:rsidRPr="00AF4BAE">
              <w:t>This unit supersedes and is equ</w:t>
            </w:r>
            <w:r w:rsidRPr="00AF4BAE">
              <w:t>ivalent to DEFEO214A Plan loading of dangerous goods.</w:t>
            </w:r>
          </w:p>
          <w:p w:rsidR="00000000" w:rsidRPr="00AF4BAE" w:rsidP="00AF4BAE">
            <w:pPr>
              <w:pStyle w:val="ListBullet"/>
            </w:pPr>
            <w:r w:rsidRPr="00AF4BAE">
              <w:t>Unit code updated</w:t>
            </w:r>
          </w:p>
          <w:p w:rsidR="00000000" w:rsidRPr="00AF4BAE" w:rsidP="00AF4BAE">
            <w:pPr>
              <w:pStyle w:val="ListBullet"/>
            </w:pPr>
            <w:r w:rsidRPr="00AF4BAE">
              <w:t>Content and formatting updated to comply with the new standards</w:t>
            </w:r>
          </w:p>
          <w:p w:rsidR="00000000" w:rsidRPr="00AF4BAE" w:rsidP="00AF4BAE">
            <w:pPr>
              <w:pStyle w:val="ListBullet"/>
            </w:pPr>
            <w:r w:rsidRPr="00AF4BAE">
              <w:t>All PC transitioned from passive to active voice</w:t>
            </w:r>
          </w:p>
          <w:p w:rsidR="00000000" w:rsidRPr="00AF4BAE" w:rsidP="00AF4BAE">
            <w:pPr>
              <w:pStyle w:val="ListBullet"/>
            </w:pPr>
            <w:r w:rsidRPr="00AF4BAE">
              <w:t>Elements 1 and 2 merged, and PC reordered and revised</w:t>
            </w:r>
          </w:p>
          <w:p w:rsidR="00000000" w:rsidRPr="00AF4BAE" w:rsidP="00AF4BAE">
            <w:pPr>
              <w:pStyle w:val="ListBullet"/>
            </w:pPr>
            <w:r w:rsidRPr="00AF4BAE">
              <w:t>Elements 3 and 4</w:t>
            </w:r>
            <w:r w:rsidRPr="00AF4BAE">
              <w:t xml:space="preserve"> merged, and all PC reordered and revised</w:t>
            </w:r>
          </w:p>
        </w:tc>
      </w:tr>
    </w:tbl>
    <w:p w:rsidR="002E0975" w:rsidP="00AF4BAE">
      <w:pPr>
        <w:pStyle w:val="NoPaddingFontSize1"/>
      </w:pPr>
    </w:p>
    <w:p w:rsidR="002E0975" w:rsidP="00AF4BAE">
      <w:pPr>
        <w:pStyle w:val="NoPaddingFontSize1"/>
      </w:pPr>
    </w:p>
    <w:p w:rsidR="00000000" w:rsidRPr="00AF4BAE" w:rsidP="00AF4BAE">
      <w:pPr>
        <w:pStyle w:val="Heading1"/>
      </w:pPr>
      <w:bookmarkStart w:id="2" w:name="O_1097683"/>
      <w:bookmarkEnd w:id="2"/>
      <w:r w:rsidRPr="00AF4BAE">
        <w:t>Application</w:t>
      </w:r>
    </w:p>
    <w:tbl>
      <w:tblPr>
        <w:tblW w:w="9497" w:type="dxa"/>
        <w:tblLayout w:type="fixed"/>
        <w:tblCellMar>
          <w:left w:w="62" w:type="dxa"/>
          <w:right w:w="62" w:type="dxa"/>
        </w:tblCellMar>
        <w:tblLook w:val="0000"/>
      </w:tblPr>
      <w:tblGrid>
        <w:gridCol w:w="9497"/>
      </w:tblGrid>
      <w:tr w:rsidTr="00AF4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BAE" w:rsidP="00AF4BAE">
            <w:pPr>
              <w:pStyle w:val="BodyText"/>
            </w:pPr>
            <w:r w:rsidRPr="00AF4BAE">
              <w:t xml:space="preserve">This unit describes the skills required to plan loading of dangerous goods in accordance with relevant regulatory requirements and workplace procedures. </w:t>
            </w:r>
            <w:r w:rsidRPr="00AF4BAE">
              <w:t>It includes assessing the goods/freight to be loaded, planning the transfer and loading operations, and completing all required documentation.</w:t>
            </w:r>
          </w:p>
          <w:p w:rsidR="00000000" w:rsidRPr="00AF4BAE" w:rsidP="00AF4BAE">
            <w:pPr>
              <w:pStyle w:val="BodyText"/>
            </w:pPr>
            <w:r w:rsidRPr="00AF4BAE">
              <w:t>This unit applies to personnel with responsibility for resource coordination and allocation.</w:t>
            </w:r>
          </w:p>
          <w:p w:rsidR="00000000" w:rsidRPr="00AF4BAE" w:rsidP="00AF4BAE">
            <w:pPr>
              <w:pStyle w:val="BodyText"/>
            </w:pPr>
            <w:r w:rsidRPr="00AF4BAE">
              <w:t>The skills and knowl</w:t>
            </w:r>
            <w:r w:rsidRPr="00AF4BAE">
              <w:t>edge described in this unit must be applied within the legislative, regulatory and policy environment in which they are carried out. Organisational policies and procedures must be consulted and adhered to.</w:t>
            </w:r>
          </w:p>
          <w:p w:rsidR="00000000" w:rsidRPr="00AF4BAE" w:rsidP="00AF4BAE">
            <w:pPr>
              <w:pStyle w:val="BodyText"/>
            </w:pPr>
            <w:r w:rsidRPr="00AF4BAE">
              <w:t>Those undertaking this unit work autonomously, usu</w:t>
            </w:r>
            <w:r w:rsidRPr="00AF4BAE">
              <w:t>ally managing individuals and teams. They would use discretion and judgement, and take responsibility for the quality of their output. They would perform complex tasks in a broad range of complex contexts utilising strategic and highly specialised knowledg</w:t>
            </w:r>
            <w:r w:rsidRPr="00AF4BAE">
              <w:t>e.</w:t>
            </w:r>
          </w:p>
          <w:p w:rsidR="00000000" w:rsidRPr="00AF4BAE" w:rsidP="00AF4BAE">
            <w:pPr>
              <w:pStyle w:val="BodyText"/>
            </w:pPr>
            <w:r w:rsidRPr="00AF4BAE">
              <w:t>No licensing, legislative or certification requirements apply to unit at the time of publication.</w:t>
            </w:r>
          </w:p>
        </w:tc>
      </w:tr>
    </w:tbl>
    <w:p w:rsidR="002E0975" w:rsidP="00AF4BAE">
      <w:pPr>
        <w:pStyle w:val="NoPaddingFontSize1"/>
      </w:pPr>
    </w:p>
    <w:p w:rsidR="002E0975" w:rsidP="00AF4BAE">
      <w:pPr>
        <w:pStyle w:val="NoPaddingFontSize1"/>
      </w:pPr>
    </w:p>
    <w:p w:rsidR="00000000" w:rsidRPr="00AF4BAE" w:rsidP="00AF4BAE">
      <w:pPr>
        <w:pStyle w:val="Heading1"/>
      </w:pPr>
      <w:bookmarkStart w:id="3" w:name="O_1101545"/>
      <w:bookmarkEnd w:id="3"/>
      <w:r w:rsidRPr="00AF4BAE">
        <w:t>Pre-requisite Unit</w:t>
      </w:r>
    </w:p>
    <w:tbl>
      <w:tblPr>
        <w:tblW w:w="9497" w:type="dxa"/>
        <w:tblLayout w:type="fixed"/>
        <w:tblCellMar>
          <w:left w:w="62" w:type="dxa"/>
          <w:right w:w="62" w:type="dxa"/>
        </w:tblCellMar>
        <w:tblLook w:val="0000"/>
      </w:tblPr>
      <w:tblGrid>
        <w:gridCol w:w="9497"/>
      </w:tblGrid>
      <w:tr w:rsidTr="00AF4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BAE" w:rsidP="00AF4BAE">
            <w:pPr>
              <w:pStyle w:val="BodyText"/>
            </w:pPr>
            <w:r w:rsidRPr="00AF4BAE">
              <w:t>Not applicable.</w:t>
            </w:r>
          </w:p>
        </w:tc>
      </w:tr>
    </w:tbl>
    <w:p w:rsidR="002E0975" w:rsidP="00AF4BAE">
      <w:pPr>
        <w:pStyle w:val="NoPaddingFontSize1"/>
      </w:pPr>
    </w:p>
    <w:p w:rsidR="002E0975" w:rsidP="00AF4BAE">
      <w:pPr>
        <w:pStyle w:val="NoPaddingFontSize1"/>
      </w:pPr>
    </w:p>
    <w:p w:rsidR="00000000" w:rsidRPr="00AF4BAE" w:rsidP="00AF4BAE">
      <w:pPr>
        <w:pStyle w:val="Heading1"/>
      </w:pPr>
      <w:bookmarkStart w:id="4" w:name="O_1097682"/>
      <w:bookmarkEnd w:id="4"/>
      <w:r w:rsidRPr="00AF4BAE">
        <w:t>Competency Field</w:t>
      </w:r>
    </w:p>
    <w:tbl>
      <w:tblPr>
        <w:tblW w:w="9497" w:type="dxa"/>
        <w:tblLayout w:type="fixed"/>
        <w:tblCellMar>
          <w:left w:w="62" w:type="dxa"/>
          <w:right w:w="62" w:type="dxa"/>
        </w:tblCellMar>
        <w:tblLook w:val="0000"/>
      </w:tblPr>
      <w:tblGrid>
        <w:gridCol w:w="9497"/>
      </w:tblGrid>
      <w:tr w:rsidTr="00AF4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BAE" w:rsidP="00AF4BAE">
            <w:pPr>
              <w:pStyle w:val="BodyText"/>
            </w:pPr>
            <w:r w:rsidRPr="00AF4BAE">
              <w:t>Explosive Ordnance</w:t>
            </w:r>
          </w:p>
        </w:tc>
      </w:tr>
    </w:tbl>
    <w:p w:rsidR="002E0975" w:rsidP="00AF4BAE">
      <w:pPr>
        <w:pStyle w:val="NoPaddingFontSize1"/>
      </w:pPr>
    </w:p>
    <w:p w:rsidR="002E0975" w:rsidP="00AF4BAE">
      <w:pPr>
        <w:pStyle w:val="NoPaddingFontSize1"/>
      </w:pPr>
    </w:p>
    <w:p w:rsidR="00000000" w:rsidRPr="00AF4BAE" w:rsidP="00AF4BAE">
      <w:pPr>
        <w:pStyle w:val="Heading1"/>
      </w:pPr>
      <w:bookmarkStart w:id="5" w:name="O_1101546"/>
      <w:bookmarkEnd w:id="5"/>
      <w:r w:rsidRPr="00AF4BAE">
        <w:t>Unit Sector</w:t>
      </w:r>
    </w:p>
    <w:tbl>
      <w:tblPr>
        <w:tblW w:w="9497" w:type="dxa"/>
        <w:tblLayout w:type="fixed"/>
        <w:tblCellMar>
          <w:left w:w="62" w:type="dxa"/>
          <w:right w:w="62" w:type="dxa"/>
        </w:tblCellMar>
        <w:tblLook w:val="0000"/>
      </w:tblPr>
      <w:tblGrid>
        <w:gridCol w:w="9497"/>
      </w:tblGrid>
      <w:tr w:rsidTr="00AF4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BAE" w:rsidP="00AF4BAE">
            <w:pPr>
              <w:pStyle w:val="BodyText"/>
            </w:pPr>
            <w:r w:rsidRPr="00AF4BAE">
              <w:t>Not applicable.</w:t>
            </w:r>
          </w:p>
        </w:tc>
      </w:tr>
    </w:tbl>
    <w:p w:rsidR="002E0975" w:rsidP="00AF4BAE">
      <w:pPr>
        <w:pStyle w:val="NoPaddingFontSize1"/>
      </w:pPr>
    </w:p>
    <w:p w:rsidR="002E0975" w:rsidP="00AF4BAE">
      <w:pPr>
        <w:pStyle w:val="NoPaddingFontSize1"/>
      </w:pPr>
    </w:p>
    <w:p w:rsidR="00000000" w:rsidRPr="00AF4BAE" w:rsidP="00AF4BAE">
      <w:pPr>
        <w:pStyle w:val="Heading1"/>
      </w:pPr>
      <w:bookmarkStart w:id="6" w:name="O_1097681"/>
      <w:bookmarkEnd w:id="6"/>
      <w:r w:rsidRPr="00AF4BA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F4BA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F4BAE" w:rsidP="00AF4BAE">
            <w:pPr>
              <w:pStyle w:val="BodyText"/>
            </w:pPr>
            <w:r w:rsidRPr="00AF4BA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rPr>
                <w:rStyle w:val="SpecialBold"/>
              </w:rPr>
              <w:t>PERFORMANCE CRITERIA</w:t>
            </w:r>
          </w:p>
        </w:tc>
      </w:tr>
      <w:tr w:rsidTr="00AF4BA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t>Performance criteria describe the performance needed to demonstrate achievement of the element.</w:t>
            </w:r>
          </w:p>
        </w:tc>
      </w:tr>
      <w:tr w:rsidTr="00AF4B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F4BAE" w:rsidP="00AF4BAE">
            <w:pPr>
              <w:pStyle w:val="BodyText"/>
            </w:pPr>
            <w:r w:rsidRPr="00AF4BA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F4BAE" w:rsidP="00AF4BAE">
            <w:pPr>
              <w:pStyle w:val="BodyText"/>
            </w:pPr>
            <w:r w:rsidRPr="00AF4BAE">
              <w:rPr>
                <w:rStyle w:val="SpecialBold"/>
              </w:rPr>
              <w:t>Plan transfer/loading operations</w:t>
            </w:r>
          </w:p>
        </w:tc>
        <w:tc>
          <w:tcPr>
            <w:tcW w:w="697"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t>Coordinate and liaise with stakeholders</w:t>
            </w:r>
          </w:p>
        </w:tc>
      </w:tr>
      <w:tr w:rsidTr="00AF4B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B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t>Identify goods to be transported</w:t>
            </w:r>
          </w:p>
        </w:tc>
      </w:tr>
      <w:tr w:rsidTr="00AF4B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B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t>Assess compatibility of dangerous goods</w:t>
            </w:r>
          </w:p>
        </w:tc>
      </w:tr>
      <w:tr w:rsidTr="00AF4B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B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t>Determine degree of risk for transported dangerous goods</w:t>
            </w:r>
          </w:p>
        </w:tc>
      </w:tr>
      <w:tr w:rsidTr="00AF4B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B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t>Plan segregation and storage requirements for safe transport</w:t>
            </w:r>
          </w:p>
        </w:tc>
      </w:tr>
      <w:tr w:rsidTr="00AF4B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B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t>Develop plans for dangerous goods transfer/loading operations and communicate to relevant personnel</w:t>
            </w:r>
          </w:p>
        </w:tc>
      </w:tr>
      <w:tr w:rsidTr="00AF4B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B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t>Determine marking and placard load requirements</w:t>
            </w:r>
          </w:p>
        </w:tc>
      </w:tr>
      <w:tr w:rsidTr="00AF4B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B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t>Plan and coordinate delivery and pick up operations</w:t>
            </w:r>
          </w:p>
        </w:tc>
      </w:tr>
      <w:tr w:rsidTr="00AF4B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B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t>Identify risks and shortfalls and develop contingency plans</w:t>
            </w:r>
          </w:p>
        </w:tc>
      </w:tr>
      <w:tr w:rsidTr="00AF4B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B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t>Provide team briefings and coordinate resource allocations</w:t>
            </w:r>
          </w:p>
        </w:tc>
      </w:tr>
      <w:tr w:rsidTr="00AF4B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F4BAE" w:rsidP="00AF4BAE">
            <w:pPr>
              <w:pStyle w:val="BodyText"/>
            </w:pPr>
            <w:r w:rsidRPr="00AF4BA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F4BAE" w:rsidP="00AF4BAE">
            <w:pPr>
              <w:pStyle w:val="BodyText"/>
            </w:pPr>
            <w:r w:rsidRPr="00AF4BAE">
              <w:rPr>
                <w:rStyle w:val="SpecialBold"/>
              </w:rPr>
              <w:t>Document and review procedures</w:t>
            </w:r>
          </w:p>
        </w:tc>
        <w:tc>
          <w:tcPr>
            <w:tcW w:w="697"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t>Document dangerous goods loading procedures to meet organisational requirements including completion of dangerous goods declarations</w:t>
            </w:r>
          </w:p>
        </w:tc>
      </w:tr>
      <w:tr w:rsidTr="00AF4B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B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t>Assess shipping documentation</w:t>
            </w:r>
          </w:p>
        </w:tc>
      </w:tr>
      <w:tr w:rsidTr="00AF4B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B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t>Check drivers/operators and dangerous goods licenses and insurance requirements in relation to load</w:t>
            </w:r>
          </w:p>
        </w:tc>
      </w:tr>
      <w:tr w:rsidTr="00AF4B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B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t>Record and report variations in load deliveries and pick-ups</w:t>
            </w:r>
          </w:p>
        </w:tc>
      </w:tr>
      <w:tr w:rsidTr="00AF4B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B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t xml:space="preserve">Evaluate and refine planning processes and procedures in response to operational </w:t>
            </w:r>
            <w:r w:rsidRPr="00AF4BAE">
              <w:t>feedback</w:t>
            </w:r>
          </w:p>
        </w:tc>
      </w:tr>
      <w:tr w:rsidTr="00AF4BA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4B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4BAE">
            <w:pPr>
              <w:pStyle w:val="BodyText"/>
              <w:rPr>
                <w:lang w:val="en-NZ"/>
              </w:rPr>
            </w:pPr>
            <w:r w:rsidRPr="00AF4BA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RPr="00AF4BAE" w:rsidP="00AF4BAE">
            <w:pPr>
              <w:pStyle w:val="BodyText"/>
            </w:pPr>
            <w:r w:rsidRPr="00AF4BAE">
              <w:t>Manage records and documents</w:t>
            </w:r>
          </w:p>
        </w:tc>
      </w:tr>
    </w:tbl>
    <w:p w:rsidR="002E0975" w:rsidP="00AF4BAE">
      <w:pPr>
        <w:pStyle w:val="NoPaddingFontSize1"/>
      </w:pPr>
    </w:p>
    <w:p w:rsidR="002E0975" w:rsidP="00AF4BAE">
      <w:pPr>
        <w:pStyle w:val="NoPaddingFontSize1"/>
      </w:pPr>
    </w:p>
    <w:p w:rsidR="00000000" w:rsidRPr="00AF4BAE" w:rsidP="00AF4BAE">
      <w:pPr>
        <w:pStyle w:val="Heading1"/>
      </w:pPr>
      <w:bookmarkStart w:id="7" w:name="O_1097680"/>
      <w:bookmarkEnd w:id="7"/>
      <w:r w:rsidRPr="00AF4BAE">
        <w:t>Foundation Skills</w:t>
      </w:r>
    </w:p>
    <w:tbl>
      <w:tblPr>
        <w:tblW w:w="9497" w:type="dxa"/>
        <w:tblLayout w:type="fixed"/>
        <w:tblCellMar>
          <w:left w:w="62" w:type="dxa"/>
          <w:right w:w="62" w:type="dxa"/>
        </w:tblCellMar>
        <w:tblLook w:val="0000"/>
      </w:tblPr>
      <w:tblGrid>
        <w:gridCol w:w="9497"/>
      </w:tblGrid>
      <w:tr w:rsidTr="00AF4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BAE" w:rsidP="00AF4BAE">
            <w:pPr>
              <w:pStyle w:val="BodyText"/>
            </w:pPr>
            <w:r w:rsidRPr="00AF4BAE">
              <w:t>Foundation skills essential to performance are explicit in the performance criteria of this unit of competency.</w:t>
            </w:r>
          </w:p>
        </w:tc>
      </w:tr>
    </w:tbl>
    <w:p w:rsidR="002E0975" w:rsidP="00AF4BAE">
      <w:pPr>
        <w:pStyle w:val="NoPaddingFontSize1"/>
      </w:pPr>
    </w:p>
    <w:p w:rsidR="002E0975" w:rsidP="00AF4BAE">
      <w:pPr>
        <w:pStyle w:val="NoPaddingFontSize1"/>
      </w:pPr>
    </w:p>
    <w:p w:rsidR="00000000" w:rsidRPr="00AF4BAE" w:rsidP="00AF4BAE">
      <w:pPr>
        <w:pStyle w:val="Heading1"/>
      </w:pPr>
      <w:bookmarkStart w:id="8" w:name="O_1101547"/>
      <w:bookmarkEnd w:id="8"/>
      <w:r w:rsidRPr="00AF4BAE">
        <w:t>Range of Conditions</w:t>
      </w:r>
    </w:p>
    <w:tbl>
      <w:tblPr>
        <w:tblW w:w="9497" w:type="dxa"/>
        <w:tblLayout w:type="fixed"/>
        <w:tblCellMar>
          <w:left w:w="62" w:type="dxa"/>
          <w:right w:w="62" w:type="dxa"/>
        </w:tblCellMar>
        <w:tblLook w:val="0000"/>
      </w:tblPr>
      <w:tblGrid>
        <w:gridCol w:w="9497"/>
      </w:tblGrid>
      <w:tr w:rsidTr="00AF4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BAE" w:rsidP="00AF4BAE">
            <w:pPr>
              <w:pStyle w:val="BodyText"/>
            </w:pPr>
            <w:r w:rsidRPr="00AF4BAE">
              <w:t>Range is restricted to essential operating conditions and any other variables essential to the work environment.</w:t>
            </w:r>
          </w:p>
          <w:p w:rsidR="00000000" w:rsidRPr="00AF4BAE" w:rsidP="00AF4BAE">
            <w:pPr>
              <w:pStyle w:val="BodyText"/>
            </w:pPr>
            <w:r w:rsidRPr="00AF4BAE">
              <w:t>Non-essential conditions may be found in the Companion Volume Implementation Guide.</w:t>
            </w:r>
          </w:p>
        </w:tc>
      </w:tr>
    </w:tbl>
    <w:p w:rsidR="002E0975" w:rsidP="00AF4BAE">
      <w:pPr>
        <w:pStyle w:val="NoPaddingFontSize1"/>
      </w:pPr>
    </w:p>
    <w:p w:rsidR="002E0975" w:rsidP="00AF4BAE">
      <w:pPr>
        <w:pStyle w:val="NoPaddingFontSize1"/>
      </w:pPr>
    </w:p>
    <w:p w:rsidR="00000000" w:rsidRPr="00AF4BAE" w:rsidP="00AF4BAE">
      <w:pPr>
        <w:pStyle w:val="Heading1"/>
      </w:pPr>
      <w:bookmarkStart w:id="9" w:name="O_1097679"/>
      <w:bookmarkEnd w:id="9"/>
      <w:r w:rsidRPr="00AF4BAE">
        <w:t>Unit Mapping Information</w:t>
      </w:r>
    </w:p>
    <w:tbl>
      <w:tblPr>
        <w:tblW w:w="9497" w:type="dxa"/>
        <w:tblLayout w:type="fixed"/>
        <w:tblCellMar>
          <w:left w:w="62" w:type="dxa"/>
          <w:right w:w="62" w:type="dxa"/>
        </w:tblCellMar>
        <w:tblLook w:val="0000"/>
      </w:tblPr>
      <w:tblGrid>
        <w:gridCol w:w="9497"/>
      </w:tblGrid>
      <w:tr w:rsidTr="00AF4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BAE" w:rsidP="00AF4BAE">
            <w:pPr>
              <w:pStyle w:val="BodyText"/>
            </w:pPr>
            <w:r w:rsidRPr="00AF4BAE">
              <w:t>This unit supersedes and is equivalent to DEFEO214A Plan loading of dangerous goods.</w:t>
            </w:r>
          </w:p>
        </w:tc>
      </w:tr>
    </w:tbl>
    <w:p w:rsidR="002E0975" w:rsidP="00AF4BAE">
      <w:pPr>
        <w:pStyle w:val="NoPaddingFontSize1"/>
      </w:pPr>
    </w:p>
    <w:p w:rsidR="002E0975" w:rsidP="00AF4BAE">
      <w:pPr>
        <w:pStyle w:val="NoPaddingFontSize1"/>
      </w:pPr>
    </w:p>
    <w:p w:rsidR="00000000" w:rsidRPr="00AF4BAE" w:rsidP="00AF4BAE">
      <w:pPr>
        <w:pStyle w:val="Heading1"/>
      </w:pPr>
      <w:bookmarkStart w:id="10" w:name="O_1097685"/>
      <w:bookmarkEnd w:id="10"/>
      <w:r w:rsidRPr="00AF4BAE">
        <w:t>Links</w:t>
      </w:r>
    </w:p>
    <w:p w:rsidR="00000000" w:rsidRPr="00AF4BAE" w:rsidP="002E0975">
      <w:pPr>
        <w:pStyle w:val="BodyText"/>
      </w:pPr>
      <w:r w:rsidRPr="00AF4BA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2360B">
        <w:rPr>
          <w:rStyle w:val="Hyperlink"/>
        </w:rPr>
        <w:t>https://vetnet.gov.au/Pages/TrainingDocs.aspx?q=6bdbab1e-11ed-4bc9-9cba-9e1a55d4e4a9</w:t>
      </w:r>
      <w:r>
        <w:fldChar w:fldCharType="end"/>
      </w:r>
    </w:p>
    <w:p w:rsidR="00000000" w:rsidRPr="00AF4BAE" w:rsidP="00AF4BAE"/>
    <w:sectPr w:rsidSect="00AF4B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AE" w:rsidRPr="002E0975" w:rsidP="002E09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975" w:rsidP="00AF4B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0975" w:rsidP="00AF4BA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E0975" w:rsidP="00AF4B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9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4BAE" w:rsidRPr="002E0975" w:rsidP="002E09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975" w:rsidRPr="002D2AF8" w:rsidP="00AF4BAE">
    <w:pPr>
      <w:pStyle w:val="Header"/>
      <w:framePr w:wrap="around"/>
    </w:pPr>
    <w:r>
      <w:fldChar w:fldCharType="begin"/>
    </w:r>
    <w:r>
      <w:instrText xml:space="preserve"> TITLE   \* MERGEFORMAT </w:instrText>
    </w:r>
    <w:r>
      <w:fldChar w:fldCharType="separate"/>
    </w:r>
    <w:r>
      <w:t>DEFEXO069 Plan loading of dangerous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E0975" w:rsidP="00AF4B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689F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3829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B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4BAE"/>
    <w:pPr>
      <w:spacing w:before="360" w:after="60"/>
      <w:outlineLvl w:val="0"/>
    </w:pPr>
    <w:rPr>
      <w:sz w:val="32"/>
    </w:rPr>
  </w:style>
  <w:style w:type="paragraph" w:styleId="Heading2">
    <w:name w:val="heading 2"/>
    <w:basedOn w:val="HeadingBase"/>
    <w:next w:val="BodyText"/>
    <w:link w:val="Heading2Char"/>
    <w:qFormat/>
    <w:rsid w:val="00AF4BAE"/>
    <w:pPr>
      <w:keepLines/>
      <w:spacing w:before="240" w:after="120"/>
      <w:outlineLvl w:val="1"/>
    </w:pPr>
    <w:rPr>
      <w:sz w:val="28"/>
      <w:szCs w:val="40"/>
    </w:rPr>
  </w:style>
  <w:style w:type="paragraph" w:styleId="Heading3">
    <w:name w:val="heading 3"/>
    <w:basedOn w:val="HeadingBase"/>
    <w:next w:val="BodyText"/>
    <w:link w:val="Heading3Char"/>
    <w:qFormat/>
    <w:rsid w:val="00AF4BAE"/>
    <w:pPr>
      <w:spacing w:before="180" w:after="120"/>
      <w:outlineLvl w:val="2"/>
    </w:pPr>
    <w:rPr>
      <w:spacing w:val="-10"/>
      <w:kern w:val="32"/>
    </w:rPr>
  </w:style>
  <w:style w:type="paragraph" w:styleId="Heading4">
    <w:name w:val="heading 4"/>
    <w:basedOn w:val="HeadingBase"/>
    <w:next w:val="BodyText"/>
    <w:link w:val="Heading4Char"/>
    <w:qFormat/>
    <w:rsid w:val="00AF4BAE"/>
    <w:pPr>
      <w:spacing w:before="160" w:after="120"/>
      <w:outlineLvl w:val="3"/>
    </w:pPr>
    <w:rPr>
      <w:sz w:val="22"/>
    </w:rPr>
  </w:style>
  <w:style w:type="paragraph" w:styleId="Heading5">
    <w:name w:val="heading 5"/>
    <w:basedOn w:val="HeadingBase"/>
    <w:next w:val="Normal"/>
    <w:link w:val="Heading5Char"/>
    <w:qFormat/>
    <w:rsid w:val="00AF4BAE"/>
    <w:pPr>
      <w:spacing w:before="80"/>
      <w:outlineLvl w:val="4"/>
    </w:pPr>
    <w:rPr>
      <w:color w:val="918585"/>
      <w:sz w:val="20"/>
    </w:rPr>
  </w:style>
  <w:style w:type="paragraph" w:styleId="Heading6">
    <w:name w:val="heading 6"/>
    <w:basedOn w:val="HeadingBase"/>
    <w:next w:val="Normal"/>
    <w:link w:val="Heading6Char"/>
    <w:qFormat/>
    <w:rsid w:val="00AF4BAE"/>
    <w:pPr>
      <w:spacing w:before="60"/>
      <w:outlineLvl w:val="5"/>
    </w:pPr>
    <w:rPr>
      <w:color w:val="918585"/>
      <w:sz w:val="20"/>
    </w:rPr>
  </w:style>
  <w:style w:type="paragraph" w:styleId="Heading7">
    <w:name w:val="heading 7"/>
    <w:basedOn w:val="Normal"/>
    <w:next w:val="Normal"/>
    <w:link w:val="Heading7Char"/>
    <w:qFormat/>
    <w:rsid w:val="00AF4BAE"/>
    <w:pPr>
      <w:ind w:left="720"/>
      <w:outlineLvl w:val="6"/>
    </w:pPr>
    <w:rPr>
      <w:i/>
    </w:rPr>
  </w:style>
  <w:style w:type="paragraph" w:styleId="Heading8">
    <w:name w:val="heading 8"/>
    <w:basedOn w:val="Normal"/>
    <w:next w:val="Normal"/>
    <w:link w:val="Heading8Char"/>
    <w:qFormat/>
    <w:rsid w:val="00AF4BAE"/>
    <w:pPr>
      <w:ind w:left="720"/>
      <w:outlineLvl w:val="7"/>
    </w:pPr>
    <w:rPr>
      <w:i/>
    </w:rPr>
  </w:style>
  <w:style w:type="paragraph" w:styleId="Heading9">
    <w:name w:val="heading 9"/>
    <w:basedOn w:val="Normal"/>
    <w:next w:val="Normal"/>
    <w:link w:val="Heading9Char"/>
    <w:qFormat/>
    <w:rsid w:val="00AF4BAE"/>
    <w:pPr>
      <w:ind w:left="720"/>
      <w:outlineLvl w:val="8"/>
    </w:pPr>
    <w:rPr>
      <w:i/>
    </w:rPr>
  </w:style>
  <w:style w:type="character" w:default="1" w:styleId="DefaultParagraphFont">
    <w:name w:val="Default Paragraph Font"/>
    <w:uiPriority w:val="1"/>
    <w:unhideWhenUsed/>
    <w:rsid w:val="00AF4B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BAE"/>
  </w:style>
  <w:style w:type="character" w:customStyle="1" w:styleId="Heading1Char">
    <w:name w:val="Heading 1 Char"/>
    <w:basedOn w:val="DefaultParagraphFont"/>
    <w:link w:val="Heading1"/>
    <w:rsid w:val="00AF4BAE"/>
    <w:rPr>
      <w:rFonts w:ascii="Times New Roman" w:eastAsia="Times New Roman" w:hAnsi="Times New Roman" w:cs="Times New Roman"/>
      <w:b/>
      <w:sz w:val="32"/>
      <w:szCs w:val="20"/>
      <w:lang w:eastAsia="en-US"/>
    </w:rPr>
  </w:style>
  <w:style w:type="paragraph" w:styleId="BodyText">
    <w:name w:val="Body Text"/>
    <w:basedOn w:val="Normal"/>
    <w:link w:val="BodyTextChar"/>
    <w:rsid w:val="00AF4B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4BAE"/>
    <w:rPr>
      <w:rFonts w:ascii="Times New Roman" w:eastAsia="Times New Roman" w:hAnsi="Times New Roman" w:cs="Times New Roman"/>
      <w:sz w:val="24"/>
      <w:lang w:eastAsia="en-US"/>
    </w:rPr>
  </w:style>
  <w:style w:type="paragraph" w:styleId="ListBullet">
    <w:name w:val="List Bullet"/>
    <w:basedOn w:val="List"/>
    <w:rsid w:val="00AF4BAE"/>
    <w:pPr>
      <w:numPr>
        <w:numId w:val="11"/>
      </w:numPr>
      <w:tabs>
        <w:tab w:val="clear" w:pos="340"/>
      </w:tabs>
      <w:spacing w:before="40" w:after="40"/>
    </w:pPr>
  </w:style>
  <w:style w:type="character" w:customStyle="1" w:styleId="SpecialBold">
    <w:name w:val="Special Bold"/>
    <w:basedOn w:val="DefaultParagraphFont"/>
    <w:rsid w:val="00AF4BAE"/>
    <w:rPr>
      <w:b/>
      <w:spacing w:val="0"/>
    </w:rPr>
  </w:style>
  <w:style w:type="paragraph" w:customStyle="1" w:styleId="SuperHeading">
    <w:name w:val="SuperHeading"/>
    <w:basedOn w:val="Normal"/>
    <w:rsid w:val="00AF4BAE"/>
    <w:pPr>
      <w:spacing w:before="240" w:after="120"/>
      <w:outlineLvl w:val="0"/>
    </w:pPr>
    <w:rPr>
      <w:rFonts w:ascii="Times New Roman" w:hAnsi="Times New Roman"/>
      <w:b/>
      <w:sz w:val="32"/>
    </w:rPr>
  </w:style>
  <w:style w:type="paragraph" w:customStyle="1" w:styleId="AllowPageBreak">
    <w:name w:val="AllowPageBreak"/>
    <w:rsid w:val="00AF4B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4B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B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B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B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B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B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4B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4BAE"/>
    <w:rPr>
      <w:rFonts w:ascii="Courier New" w:eastAsia="Times New Roman" w:hAnsi="Courier New" w:cs="Times New Roman"/>
      <w:i/>
      <w:szCs w:val="20"/>
      <w:lang w:eastAsia="en-US"/>
    </w:rPr>
  </w:style>
  <w:style w:type="paragraph" w:customStyle="1" w:styleId="HeadingBase">
    <w:name w:val="Heading Base"/>
    <w:rsid w:val="00AF4B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BAE"/>
    <w:pPr>
      <w:tabs>
        <w:tab w:val="right" w:leader="dot" w:pos="9072"/>
      </w:tabs>
      <w:ind w:left="567"/>
    </w:pPr>
    <w:rPr>
      <w:szCs w:val="22"/>
    </w:rPr>
  </w:style>
  <w:style w:type="paragraph" w:customStyle="1" w:styleId="TOCBase">
    <w:name w:val="TOC Base"/>
    <w:rsid w:val="00AF4B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BAE"/>
    <w:pPr>
      <w:tabs>
        <w:tab w:val="right" w:leader="dot" w:pos="9072"/>
      </w:tabs>
      <w:spacing w:before="40" w:after="40"/>
      <w:ind w:left="284"/>
    </w:pPr>
    <w:rPr>
      <w:rFonts w:ascii="Times New Roman" w:hAnsi="Times New Roman"/>
    </w:rPr>
  </w:style>
  <w:style w:type="paragraph" w:styleId="TOC1">
    <w:name w:val="toc 1"/>
    <w:basedOn w:val="TOCBase"/>
    <w:next w:val="Normal"/>
    <w:rsid w:val="00AF4B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4B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BAE"/>
    <w:rPr>
      <w:rFonts w:ascii="Times New Roman" w:eastAsia="Times New Roman" w:hAnsi="Times New Roman" w:cs="Times New Roman"/>
      <w:sz w:val="16"/>
      <w:lang w:eastAsia="en-US"/>
    </w:rPr>
  </w:style>
  <w:style w:type="paragraph" w:styleId="Title">
    <w:name w:val="Title"/>
    <w:basedOn w:val="HeadingBase"/>
    <w:link w:val="TitleChar"/>
    <w:qFormat/>
    <w:rsid w:val="00AF4BAE"/>
    <w:pPr>
      <w:spacing w:before="5040"/>
      <w:jc w:val="center"/>
    </w:pPr>
    <w:rPr>
      <w:sz w:val="48"/>
      <w:szCs w:val="72"/>
      <w:lang w:val="en-US"/>
    </w:rPr>
  </w:style>
  <w:style w:type="character" w:customStyle="1" w:styleId="TitleChar">
    <w:name w:val="Title Char"/>
    <w:basedOn w:val="DefaultParagraphFont"/>
    <w:link w:val="Title"/>
    <w:rsid w:val="00AF4B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BAE"/>
    <w:pPr>
      <w:tabs>
        <w:tab w:val="left" w:pos="3600"/>
        <w:tab w:val="left" w:pos="3958"/>
      </w:tabs>
    </w:pPr>
  </w:style>
  <w:style w:type="paragraph" w:styleId="List">
    <w:name w:val="List"/>
    <w:basedOn w:val="BodyText"/>
    <w:next w:val="BodyText"/>
    <w:rsid w:val="00AF4BAE"/>
    <w:pPr>
      <w:tabs>
        <w:tab w:val="left" w:pos="340"/>
      </w:tabs>
      <w:spacing w:before="60" w:after="60"/>
      <w:ind w:left="340" w:hanging="340"/>
    </w:pPr>
  </w:style>
  <w:style w:type="paragraph" w:customStyle="1" w:styleId="Note">
    <w:name w:val="Note"/>
    <w:basedOn w:val="BodyText"/>
    <w:rsid w:val="00AF4B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4BAE"/>
    <w:pPr>
      <w:framePr w:wrap="auto" w:hAnchor="text" w:y="6049"/>
    </w:pPr>
    <w:rPr>
      <w:color w:val="000000"/>
      <w:sz w:val="40"/>
    </w:rPr>
  </w:style>
  <w:style w:type="paragraph" w:customStyle="1" w:styleId="TOCTitle">
    <w:name w:val="TOCTitle"/>
    <w:basedOn w:val="Heading1"/>
    <w:rsid w:val="00AF4BAE"/>
    <w:pPr>
      <w:spacing w:after="240"/>
      <w:jc w:val="center"/>
      <w:outlineLvl w:val="9"/>
    </w:pPr>
    <w:rPr>
      <w:caps/>
    </w:rPr>
  </w:style>
  <w:style w:type="paragraph" w:customStyle="1" w:styleId="Version">
    <w:name w:val="Version"/>
    <w:rsid w:val="00AF4B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4BAE"/>
    <w:pPr>
      <w:numPr>
        <w:numId w:val="12"/>
      </w:numPr>
      <w:tabs>
        <w:tab w:val="clear" w:pos="680"/>
      </w:tabs>
    </w:pPr>
  </w:style>
  <w:style w:type="paragraph" w:styleId="Index1">
    <w:name w:val="index 1"/>
    <w:basedOn w:val="Normal"/>
    <w:next w:val="Normal"/>
    <w:semiHidden/>
    <w:rsid w:val="00AF4BAE"/>
    <w:pPr>
      <w:keepNext w:val="0"/>
      <w:tabs>
        <w:tab w:val="right" w:pos="4176"/>
      </w:tabs>
      <w:ind w:left="198" w:hanging="198"/>
    </w:pPr>
    <w:rPr>
      <w:rFonts w:ascii="Garamond" w:hAnsi="Garamond"/>
    </w:rPr>
  </w:style>
  <w:style w:type="paragraph" w:styleId="IndexHeading">
    <w:name w:val="index heading"/>
    <w:basedOn w:val="Normal"/>
    <w:next w:val="Index1"/>
    <w:semiHidden/>
    <w:rsid w:val="00AF4BAE"/>
    <w:pPr>
      <w:spacing w:before="120" w:after="120"/>
    </w:pPr>
    <w:rPr>
      <w:rFonts w:ascii="Arial" w:hAnsi="Arial"/>
      <w:b/>
      <w:color w:val="918585"/>
      <w:sz w:val="24"/>
    </w:rPr>
  </w:style>
  <w:style w:type="paragraph" w:styleId="Header">
    <w:name w:val="header"/>
    <w:basedOn w:val="Normal"/>
    <w:link w:val="HeaderChar"/>
    <w:rsid w:val="00AF4B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BAE"/>
    <w:rPr>
      <w:rFonts w:ascii="Times New Roman" w:eastAsia="Times New Roman" w:hAnsi="Times New Roman" w:cs="Times New Roman"/>
      <w:sz w:val="16"/>
      <w:szCs w:val="20"/>
      <w:lang w:val="en-GB" w:eastAsia="en-US"/>
    </w:rPr>
  </w:style>
  <w:style w:type="paragraph" w:customStyle="1" w:styleId="Chapter">
    <w:name w:val="Chapter"/>
    <w:basedOn w:val="Normal"/>
    <w:rsid w:val="00AF4BAE"/>
    <w:pPr>
      <w:spacing w:before="240"/>
    </w:pPr>
    <w:rPr>
      <w:rFonts w:ascii="Times New Roman" w:hAnsi="Times New Roman"/>
      <w:smallCaps/>
      <w:spacing w:val="80"/>
      <w:sz w:val="28"/>
    </w:rPr>
  </w:style>
  <w:style w:type="paragraph" w:customStyle="1" w:styleId="InChapter">
    <w:name w:val="InChapter"/>
    <w:basedOn w:val="Heading3"/>
    <w:rsid w:val="00AF4BAE"/>
    <w:pPr>
      <w:spacing w:after="240"/>
      <w:outlineLvl w:val="9"/>
    </w:pPr>
    <w:rPr>
      <w:noProof/>
    </w:rPr>
  </w:style>
  <w:style w:type="paragraph" w:styleId="Index2">
    <w:name w:val="index 2"/>
    <w:basedOn w:val="Normal"/>
    <w:next w:val="Normal"/>
    <w:semiHidden/>
    <w:rsid w:val="00AF4BAE"/>
    <w:pPr>
      <w:tabs>
        <w:tab w:val="right" w:pos="4176"/>
      </w:tabs>
      <w:ind w:left="568" w:hanging="284"/>
    </w:pPr>
    <w:rPr>
      <w:rFonts w:ascii="Garamond" w:hAnsi="Garamond"/>
    </w:rPr>
  </w:style>
  <w:style w:type="paragraph" w:customStyle="1" w:styleId="Byline">
    <w:name w:val="Byline"/>
    <w:rsid w:val="00AF4B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BAE"/>
    <w:pPr>
      <w:tabs>
        <w:tab w:val="clear" w:pos="3600"/>
        <w:tab w:val="clear" w:pos="3958"/>
      </w:tabs>
      <w:jc w:val="right"/>
    </w:pPr>
  </w:style>
  <w:style w:type="character" w:styleId="Emphasis">
    <w:name w:val="Emphasis"/>
    <w:basedOn w:val="DefaultParagraphFont"/>
    <w:qFormat/>
    <w:rsid w:val="00AF4BAE"/>
    <w:rPr>
      <w:i/>
    </w:rPr>
  </w:style>
  <w:style w:type="paragraph" w:styleId="Caption">
    <w:name w:val="caption"/>
    <w:basedOn w:val="BodyText"/>
    <w:next w:val="Normal"/>
    <w:qFormat/>
    <w:rsid w:val="00AF4BAE"/>
    <w:pPr>
      <w:framePr w:w="2268" w:hSpace="181" w:vSpace="181" w:wrap="around" w:vAnchor="text" w:hAnchor="page" w:x="1135" w:y="285" w:anchorLock="1"/>
    </w:pPr>
    <w:rPr>
      <w:i/>
    </w:rPr>
  </w:style>
  <w:style w:type="paragraph" w:customStyle="1" w:styleId="MiniTOCTitle">
    <w:name w:val="MiniTOCTitle"/>
    <w:basedOn w:val="Heading4"/>
    <w:rsid w:val="00AF4BAE"/>
    <w:pPr>
      <w:spacing w:before="240"/>
      <w:outlineLvl w:val="9"/>
    </w:pPr>
    <w:rPr>
      <w:noProof/>
      <w:sz w:val="24"/>
    </w:rPr>
  </w:style>
  <w:style w:type="paragraph" w:customStyle="1" w:styleId="MiniTOCItem">
    <w:name w:val="MiniTOCItem"/>
    <w:basedOn w:val="ListBullet"/>
    <w:rsid w:val="00AF4BAE"/>
    <w:pPr>
      <w:numPr>
        <w:numId w:val="0"/>
      </w:numPr>
      <w:tabs>
        <w:tab w:val="right" w:leader="dot" w:pos="6521"/>
      </w:tabs>
      <w:spacing w:before="0" w:after="0"/>
    </w:pPr>
  </w:style>
  <w:style w:type="paragraph" w:customStyle="1" w:styleId="TOFTitle">
    <w:name w:val="TOFTitle"/>
    <w:basedOn w:val="TOCTitle"/>
    <w:rsid w:val="00AF4BAE"/>
  </w:style>
  <w:style w:type="paragraph" w:styleId="TableofFigures">
    <w:name w:val="table of figures"/>
    <w:basedOn w:val="Normal"/>
    <w:next w:val="Normal"/>
    <w:semiHidden/>
    <w:rsid w:val="00AF4BAE"/>
    <w:pPr>
      <w:tabs>
        <w:tab w:val="right" w:leader="dot" w:pos="9072"/>
      </w:tabs>
      <w:ind w:left="970" w:hanging="403"/>
    </w:pPr>
    <w:rPr>
      <w:rFonts w:ascii="Times New Roman" w:hAnsi="Times New Roman"/>
      <w:b/>
    </w:rPr>
  </w:style>
  <w:style w:type="paragraph" w:styleId="ListNumber">
    <w:name w:val="List Number"/>
    <w:basedOn w:val="List"/>
    <w:rsid w:val="00AF4BAE"/>
    <w:pPr>
      <w:numPr>
        <w:numId w:val="14"/>
      </w:numPr>
      <w:tabs>
        <w:tab w:val="clear" w:pos="340"/>
      </w:tabs>
    </w:pPr>
  </w:style>
  <w:style w:type="character" w:customStyle="1" w:styleId="WingdingSymbols">
    <w:name w:val="Wingding Symbols"/>
    <w:rsid w:val="00AF4BAE"/>
    <w:rPr>
      <w:rFonts w:ascii="Wingdings" w:hAnsi="Wingdings"/>
    </w:rPr>
  </w:style>
  <w:style w:type="paragraph" w:customStyle="1" w:styleId="TableHeading">
    <w:name w:val="Table Heading"/>
    <w:basedOn w:val="HeadingBase"/>
    <w:rsid w:val="00AF4BAE"/>
    <w:pPr>
      <w:keepLines/>
      <w:pBdr>
        <w:bottom w:val="single" w:sz="6" w:space="1" w:color="918585"/>
      </w:pBdr>
      <w:spacing w:before="240"/>
    </w:pPr>
  </w:style>
  <w:style w:type="character" w:customStyle="1" w:styleId="HotSpot">
    <w:name w:val="HotSpot"/>
    <w:rsid w:val="00AF4BAE"/>
    <w:rPr>
      <w:color w:val="0033CC"/>
      <w:u w:val="none"/>
    </w:rPr>
  </w:style>
  <w:style w:type="paragraph" w:customStyle="1" w:styleId="BodyTextRight">
    <w:name w:val="Body Text Right"/>
    <w:basedOn w:val="BodyText"/>
    <w:rsid w:val="00AF4BAE"/>
    <w:pPr>
      <w:spacing w:before="0" w:after="0"/>
      <w:jc w:val="right"/>
    </w:pPr>
  </w:style>
  <w:style w:type="paragraph" w:styleId="Index3">
    <w:name w:val="index 3"/>
    <w:basedOn w:val="ListNumber2"/>
    <w:next w:val="Normal"/>
    <w:semiHidden/>
    <w:rsid w:val="00AF4BAE"/>
    <w:pPr>
      <w:numPr>
        <w:numId w:val="0"/>
      </w:numPr>
      <w:tabs>
        <w:tab w:val="right" w:leader="dot" w:pos="4176"/>
      </w:tabs>
    </w:pPr>
  </w:style>
  <w:style w:type="paragraph" w:styleId="ListNumber2">
    <w:name w:val="List Number 2"/>
    <w:basedOn w:val="List2"/>
    <w:rsid w:val="00AF4BAE"/>
    <w:pPr>
      <w:numPr>
        <w:numId w:val="9"/>
      </w:numPr>
      <w:tabs>
        <w:tab w:val="clear" w:pos="1060"/>
      </w:tabs>
    </w:pPr>
  </w:style>
  <w:style w:type="paragraph" w:customStyle="1" w:styleId="MarginNote">
    <w:name w:val="Margin Note"/>
    <w:basedOn w:val="BodyText"/>
    <w:rsid w:val="00AF4B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B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B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4BAE"/>
    <w:rPr>
      <w:sz w:val="32"/>
    </w:rPr>
  </w:style>
  <w:style w:type="paragraph" w:customStyle="1" w:styleId="HeadingProcedure">
    <w:name w:val="Heading Procedure"/>
    <w:basedOn w:val="HeadingBase"/>
    <w:next w:val="Normal"/>
    <w:rsid w:val="00AF4BAE"/>
    <w:pPr>
      <w:tabs>
        <w:tab w:val="left" w:pos="0"/>
      </w:tabs>
      <w:spacing w:before="120" w:after="60"/>
    </w:pPr>
    <w:rPr>
      <w:i/>
      <w:color w:val="918585"/>
      <w:sz w:val="22"/>
    </w:rPr>
  </w:style>
  <w:style w:type="paragraph" w:customStyle="1" w:styleId="TableBodyText">
    <w:name w:val="Table Body Text"/>
    <w:basedOn w:val="BodyText"/>
    <w:rsid w:val="00AF4BAE"/>
    <w:pPr>
      <w:spacing w:before="60" w:after="60"/>
    </w:pPr>
  </w:style>
  <w:style w:type="paragraph" w:styleId="ListContinue">
    <w:name w:val="List Continue"/>
    <w:basedOn w:val="List"/>
    <w:rsid w:val="00AF4BAE"/>
    <w:pPr>
      <w:ind w:firstLine="0"/>
    </w:pPr>
  </w:style>
  <w:style w:type="paragraph" w:customStyle="1" w:styleId="ListNote">
    <w:name w:val="List Note"/>
    <w:basedOn w:val="List"/>
    <w:rsid w:val="00AF4BAE"/>
    <w:pPr>
      <w:pBdr>
        <w:top w:val="single" w:sz="6" w:space="2" w:color="918585"/>
        <w:bottom w:val="single" w:sz="6" w:space="2" w:color="918585"/>
      </w:pBdr>
      <w:tabs>
        <w:tab w:val="left" w:pos="1021"/>
      </w:tabs>
      <w:ind w:firstLine="0"/>
    </w:pPr>
  </w:style>
  <w:style w:type="paragraph" w:customStyle="1" w:styleId="Warning">
    <w:name w:val="Warning"/>
    <w:basedOn w:val="BodyText"/>
    <w:rsid w:val="00AF4BAE"/>
    <w:pPr>
      <w:shd w:val="clear" w:color="auto" w:fill="D9D9D9"/>
      <w:tabs>
        <w:tab w:val="left" w:pos="992"/>
      </w:tabs>
      <w:ind w:left="119" w:right="119"/>
    </w:pPr>
    <w:rPr>
      <w:sz w:val="20"/>
    </w:rPr>
  </w:style>
  <w:style w:type="paragraph" w:customStyle="1" w:styleId="MarginIcons">
    <w:name w:val="Margin Icons"/>
    <w:basedOn w:val="BodyText"/>
    <w:rsid w:val="00AF4B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BAE"/>
    <w:rPr>
      <w:rFonts w:ascii="Courier New" w:hAnsi="Courier New"/>
    </w:rPr>
  </w:style>
  <w:style w:type="paragraph" w:customStyle="1" w:styleId="NoteBullet">
    <w:name w:val="Note Bullet"/>
    <w:basedOn w:val="Note"/>
    <w:rsid w:val="00AF4BAE"/>
    <w:pPr>
      <w:tabs>
        <w:tab w:val="clear" w:pos="680"/>
      </w:tabs>
      <w:spacing w:before="60" w:after="60"/>
    </w:pPr>
  </w:style>
  <w:style w:type="paragraph" w:customStyle="1" w:styleId="SubHeading2">
    <w:name w:val="SubHeading2"/>
    <w:basedOn w:val="HeadingBase"/>
    <w:rsid w:val="00AF4BAE"/>
    <w:pPr>
      <w:spacing w:before="240" w:after="60"/>
    </w:pPr>
    <w:rPr>
      <w:sz w:val="20"/>
    </w:rPr>
  </w:style>
  <w:style w:type="paragraph" w:customStyle="1" w:styleId="SubHeading1">
    <w:name w:val="SubHeading1"/>
    <w:basedOn w:val="HeadingBase"/>
    <w:rsid w:val="00AF4BAE"/>
    <w:pPr>
      <w:spacing w:before="240" w:after="60"/>
    </w:pPr>
    <w:rPr>
      <w:color w:val="918585"/>
      <w:sz w:val="22"/>
    </w:rPr>
  </w:style>
  <w:style w:type="paragraph" w:customStyle="1" w:styleId="SideHeading">
    <w:name w:val="Side Heading"/>
    <w:basedOn w:val="HeadingBase"/>
    <w:rsid w:val="00AF4B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BAE"/>
    <w:pPr>
      <w:numPr>
        <w:numId w:val="10"/>
      </w:numPr>
    </w:pPr>
  </w:style>
  <w:style w:type="paragraph" w:styleId="PlainText">
    <w:name w:val="Plain Text"/>
    <w:basedOn w:val="Normal"/>
    <w:link w:val="PlainTextChar"/>
    <w:rsid w:val="00AF4BAE"/>
    <w:rPr>
      <w:sz w:val="20"/>
    </w:rPr>
  </w:style>
  <w:style w:type="character" w:customStyle="1" w:styleId="PlainTextChar">
    <w:name w:val="Plain Text Char"/>
    <w:basedOn w:val="DefaultParagraphFont"/>
    <w:link w:val="PlainText"/>
    <w:rsid w:val="00AF4BAE"/>
    <w:rPr>
      <w:rFonts w:ascii="Courier New" w:eastAsia="Times New Roman" w:hAnsi="Courier New" w:cs="Times New Roman"/>
      <w:sz w:val="20"/>
      <w:szCs w:val="20"/>
      <w:lang w:eastAsia="en-US"/>
    </w:rPr>
  </w:style>
  <w:style w:type="character" w:customStyle="1" w:styleId="MenuOption">
    <w:name w:val="Menu Option"/>
    <w:basedOn w:val="DefaultParagraphFont"/>
    <w:rsid w:val="00AF4BAE"/>
    <w:rPr>
      <w:b/>
      <w:smallCaps/>
    </w:rPr>
  </w:style>
  <w:style w:type="paragraph" w:customStyle="1" w:styleId="TableListNumber">
    <w:name w:val="Table List Number"/>
    <w:basedOn w:val="ListNumber"/>
    <w:rsid w:val="00AF4BAE"/>
    <w:pPr>
      <w:numPr>
        <w:numId w:val="0"/>
      </w:numPr>
    </w:pPr>
  </w:style>
  <w:style w:type="paragraph" w:styleId="TOC4">
    <w:name w:val="toc 4"/>
    <w:basedOn w:val="TOCBase"/>
    <w:next w:val="Normal"/>
    <w:semiHidden/>
    <w:rsid w:val="00AF4BAE"/>
    <w:pPr>
      <w:tabs>
        <w:tab w:val="right" w:leader="dot" w:pos="9071"/>
      </w:tabs>
      <w:ind w:left="1701"/>
    </w:pPr>
  </w:style>
  <w:style w:type="paragraph" w:customStyle="1" w:styleId="ListAlpha">
    <w:name w:val="List Alpha"/>
    <w:basedOn w:val="List"/>
    <w:rsid w:val="00AF4BAE"/>
    <w:pPr>
      <w:numPr>
        <w:numId w:val="8"/>
      </w:numPr>
    </w:pPr>
  </w:style>
  <w:style w:type="paragraph" w:customStyle="1" w:styleId="ListAlpha2">
    <w:name w:val="List Alpha 2"/>
    <w:basedOn w:val="List2"/>
    <w:rsid w:val="00AF4BAE"/>
    <w:pPr>
      <w:numPr>
        <w:numId w:val="7"/>
      </w:numPr>
    </w:pPr>
  </w:style>
  <w:style w:type="paragraph" w:styleId="List2">
    <w:name w:val="List 2"/>
    <w:basedOn w:val="BodyText"/>
    <w:rsid w:val="00AF4BAE"/>
    <w:pPr>
      <w:tabs>
        <w:tab w:val="left" w:pos="680"/>
      </w:tabs>
      <w:spacing w:before="60" w:after="60"/>
      <w:ind w:left="680" w:hanging="340"/>
    </w:pPr>
  </w:style>
  <w:style w:type="paragraph" w:styleId="List3">
    <w:name w:val="List 3"/>
    <w:basedOn w:val="BodyText"/>
    <w:rsid w:val="00AF4BAE"/>
    <w:pPr>
      <w:tabs>
        <w:tab w:val="left" w:pos="1021"/>
      </w:tabs>
      <w:spacing w:before="60" w:after="60"/>
      <w:ind w:left="1020" w:hanging="340"/>
    </w:pPr>
  </w:style>
  <w:style w:type="paragraph" w:styleId="List4">
    <w:name w:val="List 4"/>
    <w:basedOn w:val="BodyText"/>
    <w:rsid w:val="00AF4BAE"/>
    <w:pPr>
      <w:tabs>
        <w:tab w:val="left" w:pos="1361"/>
      </w:tabs>
      <w:spacing w:before="60" w:after="60"/>
      <w:ind w:left="1361" w:hanging="340"/>
    </w:pPr>
  </w:style>
  <w:style w:type="paragraph" w:styleId="List5">
    <w:name w:val="List 5"/>
    <w:basedOn w:val="BodyText"/>
    <w:rsid w:val="00AF4BAE"/>
    <w:pPr>
      <w:tabs>
        <w:tab w:val="left" w:pos="1701"/>
      </w:tabs>
      <w:spacing w:before="60" w:after="60"/>
      <w:ind w:left="1701" w:hanging="340"/>
    </w:pPr>
  </w:style>
  <w:style w:type="paragraph" w:styleId="ListBullet3">
    <w:name w:val="List Bullet 3"/>
    <w:basedOn w:val="List3"/>
    <w:rsid w:val="00AF4BAE"/>
    <w:pPr>
      <w:numPr>
        <w:numId w:val="13"/>
      </w:numPr>
      <w:tabs>
        <w:tab w:val="clear" w:pos="1021"/>
      </w:tabs>
      <w:ind w:left="1037" w:hanging="357"/>
    </w:pPr>
  </w:style>
  <w:style w:type="paragraph" w:styleId="ListBullet4">
    <w:name w:val="List Bullet 4"/>
    <w:basedOn w:val="List4"/>
    <w:rsid w:val="00AF4BAE"/>
    <w:pPr>
      <w:numPr>
        <w:numId w:val="2"/>
      </w:numPr>
      <w:tabs>
        <w:tab w:val="clear" w:pos="1361"/>
      </w:tabs>
    </w:pPr>
  </w:style>
  <w:style w:type="paragraph" w:styleId="ListBullet5">
    <w:name w:val="List Bullet 5"/>
    <w:basedOn w:val="List5"/>
    <w:rsid w:val="00AF4BAE"/>
    <w:pPr>
      <w:numPr>
        <w:numId w:val="3"/>
      </w:numPr>
    </w:pPr>
  </w:style>
  <w:style w:type="paragraph" w:styleId="ListContinue2">
    <w:name w:val="List Continue 2"/>
    <w:basedOn w:val="List2"/>
    <w:rsid w:val="00AF4BAE"/>
    <w:pPr>
      <w:ind w:firstLine="0"/>
    </w:pPr>
  </w:style>
  <w:style w:type="paragraph" w:styleId="ListContinue3">
    <w:name w:val="List Continue 3"/>
    <w:basedOn w:val="List3"/>
    <w:rsid w:val="00AF4BAE"/>
    <w:pPr>
      <w:ind w:left="1021" w:firstLine="0"/>
    </w:pPr>
  </w:style>
  <w:style w:type="paragraph" w:styleId="ListContinue4">
    <w:name w:val="List Continue 4"/>
    <w:basedOn w:val="List4"/>
    <w:rsid w:val="00AF4BAE"/>
    <w:pPr>
      <w:ind w:firstLine="0"/>
    </w:pPr>
  </w:style>
  <w:style w:type="paragraph" w:styleId="ListContinue5">
    <w:name w:val="List Continue 5"/>
    <w:basedOn w:val="List5"/>
    <w:rsid w:val="00AF4BAE"/>
    <w:pPr>
      <w:ind w:firstLine="0"/>
    </w:pPr>
  </w:style>
  <w:style w:type="paragraph" w:styleId="ListNumber3">
    <w:name w:val="List Number 3"/>
    <w:basedOn w:val="List3"/>
    <w:rsid w:val="00AF4BAE"/>
    <w:pPr>
      <w:numPr>
        <w:numId w:val="4"/>
      </w:numPr>
    </w:pPr>
  </w:style>
  <w:style w:type="paragraph" w:styleId="ListNumber4">
    <w:name w:val="List Number 4"/>
    <w:basedOn w:val="List4"/>
    <w:rsid w:val="00AF4BAE"/>
    <w:pPr>
      <w:numPr>
        <w:numId w:val="5"/>
      </w:numPr>
    </w:pPr>
  </w:style>
  <w:style w:type="paragraph" w:styleId="ListNumber5">
    <w:name w:val="List Number 5"/>
    <w:basedOn w:val="List5"/>
    <w:rsid w:val="00AF4BAE"/>
    <w:pPr>
      <w:numPr>
        <w:numId w:val="6"/>
      </w:numPr>
    </w:pPr>
  </w:style>
  <w:style w:type="paragraph" w:styleId="BlockText">
    <w:name w:val="Block Text"/>
    <w:basedOn w:val="Normal"/>
    <w:rsid w:val="00AF4BAE"/>
    <w:pPr>
      <w:spacing w:after="120"/>
      <w:ind w:left="1440" w:right="1440"/>
    </w:pPr>
  </w:style>
  <w:style w:type="character" w:customStyle="1" w:styleId="Subscript">
    <w:name w:val="Subscript"/>
    <w:basedOn w:val="DefaultParagraphFont"/>
    <w:rsid w:val="00AF4BAE"/>
    <w:rPr>
      <w:sz w:val="16"/>
      <w:vertAlign w:val="subscript"/>
    </w:rPr>
  </w:style>
  <w:style w:type="character" w:customStyle="1" w:styleId="Superscript">
    <w:name w:val="Superscript"/>
    <w:basedOn w:val="DefaultParagraphFont"/>
    <w:rsid w:val="00AF4BAE"/>
    <w:rPr>
      <w:sz w:val="16"/>
      <w:vertAlign w:val="superscript"/>
    </w:rPr>
  </w:style>
  <w:style w:type="character" w:customStyle="1" w:styleId="Symbols">
    <w:name w:val="Symbols"/>
    <w:basedOn w:val="DefaultParagraphFont"/>
    <w:rsid w:val="00AF4BAE"/>
    <w:rPr>
      <w:rFonts w:ascii="Symbol" w:hAnsi="Symbol"/>
    </w:rPr>
  </w:style>
  <w:style w:type="character" w:customStyle="1" w:styleId="MenuOptions">
    <w:name w:val="Menu Options"/>
    <w:basedOn w:val="DefaultParagraphFont"/>
    <w:rsid w:val="00AF4BAE"/>
    <w:rPr>
      <w:rFonts w:ascii="Arial Narrow" w:hAnsi="Arial Narrow"/>
      <w:smallCaps/>
    </w:rPr>
  </w:style>
  <w:style w:type="character" w:customStyle="1" w:styleId="Buttons">
    <w:name w:val="Buttons"/>
    <w:basedOn w:val="DefaultParagraphFont"/>
    <w:rsid w:val="00AF4BAE"/>
    <w:rPr>
      <w:b/>
    </w:rPr>
  </w:style>
  <w:style w:type="character" w:customStyle="1" w:styleId="Underlined">
    <w:name w:val="Underlined"/>
    <w:basedOn w:val="DefaultParagraphFont"/>
    <w:rsid w:val="00AF4BAE"/>
    <w:rPr>
      <w:u w:val="single"/>
    </w:rPr>
  </w:style>
  <w:style w:type="paragraph" w:customStyle="1" w:styleId="TableBodyTextRight">
    <w:name w:val="Table Body Text Right"/>
    <w:basedOn w:val="TableBodyText"/>
    <w:rsid w:val="00AF4BAE"/>
    <w:pPr>
      <w:widowControl w:val="0"/>
      <w:autoSpaceDE w:val="0"/>
      <w:autoSpaceDN w:val="0"/>
      <w:adjustRightInd w:val="0"/>
      <w:jc w:val="right"/>
    </w:pPr>
    <w:rPr>
      <w:rFonts w:cs="Arial"/>
      <w:szCs w:val="18"/>
    </w:rPr>
  </w:style>
  <w:style w:type="paragraph" w:customStyle="1" w:styleId="CopyrightText">
    <w:name w:val="Copyright Text"/>
    <w:basedOn w:val="BodyText"/>
    <w:rsid w:val="00AF4BAE"/>
    <w:rPr>
      <w:sz w:val="18"/>
    </w:rPr>
  </w:style>
  <w:style w:type="paragraph" w:customStyle="1" w:styleId="BodySmallRight">
    <w:name w:val="Body Small Right"/>
    <w:basedOn w:val="BodyTextRight"/>
    <w:rsid w:val="00AF4BAE"/>
    <w:rPr>
      <w:sz w:val="18"/>
      <w:szCs w:val="18"/>
    </w:rPr>
  </w:style>
  <w:style w:type="paragraph" w:customStyle="1" w:styleId="MarginEdition">
    <w:name w:val="Margin Edition"/>
    <w:basedOn w:val="MarginNote"/>
    <w:rsid w:val="00AF4BAE"/>
    <w:pPr>
      <w:spacing w:before="0" w:after="0"/>
    </w:pPr>
    <w:rPr>
      <w:rFonts w:ascii="Times New Roman" w:hAnsi="Times New Roman"/>
      <w:color w:val="999999"/>
    </w:rPr>
  </w:style>
  <w:style w:type="paragraph" w:customStyle="1" w:styleId="Spacer">
    <w:name w:val="Spacer"/>
    <w:basedOn w:val="Normal"/>
    <w:rsid w:val="00AF4BAE"/>
    <w:rPr>
      <w:sz w:val="2"/>
      <w:szCs w:val="2"/>
    </w:rPr>
  </w:style>
  <w:style w:type="character" w:customStyle="1" w:styleId="Small">
    <w:name w:val="Small"/>
    <w:basedOn w:val="DefaultParagraphFont"/>
    <w:rsid w:val="00AF4BAE"/>
    <w:rPr>
      <w:sz w:val="16"/>
    </w:rPr>
  </w:style>
  <w:style w:type="paragraph" w:customStyle="1" w:styleId="WideTable">
    <w:name w:val="Wide Table"/>
    <w:basedOn w:val="Normal"/>
    <w:rsid w:val="00AF4BAE"/>
    <w:pPr>
      <w:ind w:left="-1418"/>
    </w:pPr>
    <w:rPr>
      <w:sz w:val="2"/>
      <w:szCs w:val="2"/>
    </w:rPr>
  </w:style>
  <w:style w:type="character" w:styleId="PageNumber">
    <w:name w:val="page number"/>
    <w:basedOn w:val="DefaultParagraphFont"/>
    <w:rsid w:val="00AF4BAE"/>
  </w:style>
  <w:style w:type="paragraph" w:styleId="Quote">
    <w:name w:val="Quote"/>
    <w:basedOn w:val="Heading1"/>
    <w:link w:val="QuoteChar"/>
    <w:qFormat/>
    <w:rsid w:val="00AF4BAE"/>
    <w:rPr>
      <w:b w:val="0"/>
      <w:sz w:val="72"/>
      <w:szCs w:val="72"/>
      <w:lang w:val="en-NZ"/>
    </w:rPr>
  </w:style>
  <w:style w:type="character" w:customStyle="1" w:styleId="QuoteChar">
    <w:name w:val="Quote Char"/>
    <w:basedOn w:val="DefaultParagraphFont"/>
    <w:link w:val="Quote"/>
    <w:rsid w:val="00AF4B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BAE"/>
    <w:pPr>
      <w:pageBreakBefore/>
    </w:pPr>
  </w:style>
  <w:style w:type="paragraph" w:customStyle="1" w:styleId="Border">
    <w:name w:val="Border"/>
    <w:basedOn w:val="Normal"/>
    <w:qFormat/>
    <w:rsid w:val="00AF4B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BAE"/>
    <w:rPr>
      <w:b/>
      <w:bCs/>
      <w:i/>
      <w:iCs/>
      <w:color w:val="auto"/>
    </w:rPr>
  </w:style>
  <w:style w:type="paragraph" w:styleId="IntenseQuote">
    <w:name w:val="Intense Quote"/>
    <w:basedOn w:val="Normal"/>
    <w:next w:val="Normal"/>
    <w:link w:val="IntenseQuoteChar"/>
    <w:uiPriority w:val="30"/>
    <w:qFormat/>
    <w:rsid w:val="00AF4B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B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4BAE"/>
    <w:rPr>
      <w:smallCaps/>
      <w:color w:val="auto"/>
      <w:u w:val="single"/>
    </w:rPr>
  </w:style>
  <w:style w:type="character" w:styleId="IntenseReference">
    <w:name w:val="Intense Reference"/>
    <w:basedOn w:val="DefaultParagraphFont"/>
    <w:uiPriority w:val="32"/>
    <w:qFormat/>
    <w:rsid w:val="00AF4BAE"/>
    <w:rPr>
      <w:b/>
      <w:bCs/>
      <w:smallCaps/>
      <w:color w:val="auto"/>
      <w:spacing w:val="5"/>
      <w:u w:val="single"/>
    </w:rPr>
  </w:style>
  <w:style w:type="paragraph" w:customStyle="1" w:styleId="2ColumnHeading">
    <w:name w:val="2Column Heading"/>
    <w:basedOn w:val="BodyText"/>
    <w:qFormat/>
    <w:rsid w:val="00AF4BAE"/>
    <w:pPr>
      <w:spacing w:after="60"/>
      <w:ind w:left="-2268"/>
    </w:pPr>
    <w:rPr>
      <w:b/>
    </w:rPr>
  </w:style>
  <w:style w:type="paragraph" w:customStyle="1" w:styleId="Heading1TOC">
    <w:name w:val="Heading1 TOC"/>
    <w:basedOn w:val="Normal"/>
    <w:qFormat/>
    <w:rsid w:val="00AF4BAE"/>
    <w:pPr>
      <w:spacing w:before="240" w:after="120"/>
    </w:pPr>
    <w:rPr>
      <w:rFonts w:ascii="Times New Roman" w:hAnsi="Times New Roman"/>
      <w:b/>
      <w:sz w:val="32"/>
    </w:rPr>
  </w:style>
  <w:style w:type="paragraph" w:customStyle="1" w:styleId="Heading2TOC">
    <w:name w:val="Heading2 TOC"/>
    <w:basedOn w:val="Normal"/>
    <w:qFormat/>
    <w:rsid w:val="00AF4BAE"/>
    <w:pPr>
      <w:spacing w:before="240" w:after="60"/>
    </w:pPr>
    <w:rPr>
      <w:rFonts w:ascii="Times New Roman" w:hAnsi="Times New Roman"/>
      <w:b/>
      <w:sz w:val="28"/>
    </w:rPr>
  </w:style>
  <w:style w:type="character" w:customStyle="1" w:styleId="Underline">
    <w:name w:val="Underline"/>
    <w:basedOn w:val="DefaultParagraphFont"/>
    <w:qFormat/>
    <w:rsid w:val="00AF4BAE"/>
    <w:rPr>
      <w:u w:val="single"/>
    </w:rPr>
  </w:style>
  <w:style w:type="character" w:customStyle="1" w:styleId="BoldandItalics">
    <w:name w:val="Bold and Italics"/>
    <w:qFormat/>
    <w:rsid w:val="00AF4BAE"/>
    <w:rPr>
      <w:b/>
      <w:i/>
      <w:u w:val="none"/>
    </w:rPr>
  </w:style>
  <w:style w:type="paragraph" w:styleId="BalloonText">
    <w:name w:val="Balloon Text"/>
    <w:basedOn w:val="Normal"/>
    <w:link w:val="BalloonTextChar"/>
    <w:rsid w:val="00AF4BAE"/>
    <w:rPr>
      <w:rFonts w:ascii="Tahoma" w:hAnsi="Tahoma" w:cs="Tahoma"/>
      <w:sz w:val="16"/>
      <w:szCs w:val="16"/>
    </w:rPr>
  </w:style>
  <w:style w:type="character" w:customStyle="1" w:styleId="BalloonTextChar">
    <w:name w:val="Balloon Text Char"/>
    <w:basedOn w:val="DefaultParagraphFont"/>
    <w:link w:val="BalloonText"/>
    <w:rsid w:val="00AF4B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4B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4B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4BAE"/>
    <w:rPr>
      <w:b/>
      <w:color w:val="660033"/>
      <w:spacing w:val="0"/>
    </w:rPr>
  </w:style>
  <w:style w:type="paragraph" w:customStyle="1" w:styleId="Nameditemlist">
    <w:name w:val="Named item list"/>
    <w:basedOn w:val="BodyText"/>
    <w:qFormat/>
    <w:rsid w:val="00AF4BAE"/>
    <w:pPr>
      <w:tabs>
        <w:tab w:val="left" w:pos="2835"/>
      </w:tabs>
      <w:ind w:left="2835" w:hanging="2835"/>
    </w:pPr>
  </w:style>
  <w:style w:type="paragraph" w:customStyle="1" w:styleId="BodyTextnopadding">
    <w:name w:val="Body Text no padding"/>
    <w:basedOn w:val="BodyText"/>
    <w:qFormat/>
    <w:rsid w:val="00AF4BAE"/>
    <w:pPr>
      <w:spacing w:before="0" w:after="0"/>
    </w:pPr>
  </w:style>
  <w:style w:type="paragraph" w:customStyle="1" w:styleId="BodyTextBold">
    <w:name w:val="Body Text Bold"/>
    <w:basedOn w:val="BodyText"/>
    <w:qFormat/>
    <w:rsid w:val="00AF4BAE"/>
    <w:rPr>
      <w:b/>
    </w:rPr>
  </w:style>
  <w:style w:type="character" w:styleId="Hyperlink">
    <w:name w:val="Hyperlink"/>
    <w:basedOn w:val="DefaultParagraphFont"/>
    <w:uiPriority w:val="99"/>
    <w:unhideWhenUsed/>
    <w:rsid w:val="002E09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543</Words>
  <Characters>3419</Characters>
  <Application>Microsoft Office Word</Application>
  <DocSecurity>0</DocSecurity>
  <Lines>162</Lines>
  <Paragraphs>90</Paragraphs>
  <ScaleCrop>false</ScaleCrop>
  <Company>Author-it Software Corporation Ltd.</Company>
  <LinksUpToDate>false</LinksUpToDate>
  <CharactersWithSpaces>3872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DEFEXO069 Plan loading of dangerous goods</dc:title>
  <dc:subject>Approved</dc:subject>
  <dc:creator>Public Skills Australia</dc:creator>
  <cp:keywords>Release: 2</cp:keywords>
  <dc:description>Review Date: 12 April 2008</dc:description>
  <cp:lastModifiedBy>HSD_TPCMSd.prod</cp:lastModifiedBy>
  <cp:revision>3</cp:revision>
  <dcterms:created xsi:type="dcterms:W3CDTF">2024-11-07T12:39:00Z</dcterms:created>
  <dcterms:modified xsi:type="dcterms:W3CDTF">2024-11-07T12:39:00Z</dcterms:modified>
</cp:coreProperties>
</file>